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C8" w:rsidRPr="00BC45F3" w:rsidRDefault="00A10BC8" w:rsidP="00BC45F3">
      <w:pPr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</w:pPr>
      <w:bookmarkStart w:id="0" w:name="_GoBack"/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Bezbednost hrane</w:t>
      </w:r>
    </w:p>
    <w:p w:rsidR="00A10BC8" w:rsidRPr="00BC45F3" w:rsidRDefault="00A10BC8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E24D15" w:rsidRPr="00BC45F3" w:rsidRDefault="00E24D15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Bolesti koje se prenose hranom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  <w:lang w:val="sr-Latn-RS"/>
        </w:rPr>
        <w:t xml:space="preserve">značajno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opterećuju zdravstv</w:t>
      </w:r>
      <w:r w:rsidR="00805EB3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e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ne sisteme država </w:t>
      </w:r>
      <w:r w:rsidR="00805EB3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ne samo nerazvijenih i zemalja u razvoju nego i razvijenih zemalja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,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povećavaju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ći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troškove zdravstvene zaštite. Bezbednost hrane je zajednička odgovornost vlada država, proizvođača hrane, subjekata u poslovanju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sa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hranom kao i samih potrošača. U čitavom lancu ishrane primenjuju se </w:t>
      </w:r>
      <w:r w:rsidR="00E95EB7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nacionalni propisi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="00E95EB7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razne vrste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kontrol</w:t>
      </w:r>
      <w:r w:rsidR="00E95EB7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a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kako bi se rizik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od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kontaminacije sveo na najmanju moguću meru i osiguralo da hrana koja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se</w:t>
      </w:r>
      <w:r w:rsidR="00E95EB7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isporuč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uje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potrošač</w:t>
      </w:r>
      <w:r w:rsidR="00E95EB7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u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bude bezbedna. </w:t>
      </w:r>
    </w:p>
    <w:p w:rsidR="00E24D15" w:rsidRPr="00BC45F3" w:rsidRDefault="00E24D15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E24D15" w:rsidRPr="00BC45F3" w:rsidRDefault="00E24D15" w:rsidP="00BC45F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Najbolji način da potrošači sačuvaju svoje zdravlje jeste da se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dobro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informišu o osnovnim principima proizvodnje hrane kao </w:t>
      </w:r>
      <w:r w:rsidR="00805EB3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i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 bezbednim načinima rukovanja sa hranom.</w:t>
      </w:r>
    </w:p>
    <w:p w:rsidR="007657B6" w:rsidRPr="00BC45F3" w:rsidRDefault="007657B6" w:rsidP="00BC45F3">
      <w:pPr>
        <w:spacing w:line="360" w:lineRule="auto"/>
        <w:jc w:val="both"/>
        <w:rPr>
          <w:sz w:val="22"/>
          <w:szCs w:val="22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Savremeni način života se uveliko razlikuje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od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onog iz prošlosti. Brzi tempo modernog načina života i promena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strukture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broja članova porodic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e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, kao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zaposlenost žena doveli su do promena u navikama pripreme i konzumiranja hrane. Ove promene doprinele su napretku u prehrambenoj tehnologiji, tehnikama prerade i pakovanja hrane kako bi se osigurala bezbednost i kvalitet snabdevanja hranom. Uprkos ovom napretku, svedoci smo da se javlja kontaminacija hrane bilo </w:t>
      </w:r>
      <w:proofErr w:type="gramStart"/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sa</w:t>
      </w:r>
      <w:proofErr w:type="gramEnd"/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prirodnim ili slučajno unetim zagađivačima ili kao posledica loše higijenske prakse prilikom pripreme ili čuvanja hrane.</w:t>
      </w: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A10BC8" w:rsidRPr="00BC45F3" w:rsidRDefault="00A10BC8" w:rsidP="00BC45F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Mogućnost da se hrana kontaminira započinje praktično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od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trenutka kada je prikupljena i traje sve do trenutka kada se konzumira. Generalno dve su velike kategorije opasnosti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sa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kojima se susrećemo kada je bezbednost hrane u pitanju: mikrobiološke i fizičko-hemijske opasnosti. Mikrobiološka kontaminacija podrazumeva kontaminaciju hrane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sa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bakterijama, gljivicama, virusima ili parazitima. Ova kategorija rezultira u većini slučajeva akutnim simptomima. Hemijski zagađivači, koji uključuju hemikalije iz životne sredine, ostatke veterinarskih lekova, teške metale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ili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druge ostatke koji su nenamerno ili slučajno dodati u hranu tokom uzgoja, prerade, transporta ili pakovanja. Da li će kontaminent predstavljati opasnost po zdravlje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ili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ne, zavisi od mnogih faktora, uključujući apsorpciju i toksičnost supstance, nivo kontaminenta prisutnog u hrani, količinu kontaminirane hrane koja se konzumira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kao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i trajanje izloženosti. Pored toga, osobe se razlikuju u svojoj osetljivosti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zagađivače i uvek posebno na umu moramo imati tzv.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osetljive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populacione kategorije stanovništva kao što su: deca, trudnice, dojilje, stare i imunokompromitovane osobe. </w:t>
      </w:r>
    </w:p>
    <w:p w:rsidR="00A10BC8" w:rsidRPr="00BC45F3" w:rsidRDefault="00A10BC8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lastRenderedPageBreak/>
        <w:t xml:space="preserve">Konačno, kvalitet i bezbednost hrane zavise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od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napora svih subjekata koji su uključeni u složeni lanac poljoprivredne proizvodnje, prerade, transporta i potrošnje hrane. Prema rečima Evropske unije (EU) i Svetske zdravstvene organizacije (SZO) bezbednost hrane zajednička je odgovornost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od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svih učesnika u lancu ishrane “od njive do trpeze”.</w:t>
      </w: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Nacionalni propisi zemalja članica EU kao i nacionalni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propisi u Republici Srbiji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regulišu čitav niz postupaka u proizvodnji preradi i prometu hrane upravo u cilju obezbeđivanja da pred potrošača bude isporučen proizvod koji je odgovarajućeg kvaliteta i zdravstveno bezbedan. To podrazumeva:</w:t>
      </w: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Poljoprivred</w:t>
      </w:r>
      <w:r w:rsidR="004364D8"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nu proizvodnju</w:t>
      </w: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 xml:space="preserve"> i transport </w:t>
      </w: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Kvalitet sirovina je presudan za obezbeđivanje bezbednosti i kvaliteta konačnog proizvoda. Zbog toga je potreban sistematski pristup “od njive do trpeze” kako bi se izbegla kontaminacija hrane i utvrdile potencijalne opasnosti.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Sa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njive poljoprivredni proizvodi se prevoze u prehrambenu industriju. Ovaj korak lanca ishrane pokriven je zakonodavstvom o standardima kvaliteta: Zakonodavstvo Evropske unije koj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e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definiše higijenu i bezbednost hrane odnosi se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transport i skladištenje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hrane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. Norme Međunarodne organizacije za standardizaciju (ISO standardi) sadrže poglavlje o skladištenju i isporuci prehrambenih proizvoda. Codex Alimentarius, uspostavljen 1962.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godine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od strane SZO i Organizacije za hranu i poljoprivredu (FAO), uključuje pitanja transporta i skladištenja u sveukupne preporuke za očuvanje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bezbednosti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hrane. Vlade zemalja članica ovih organizacija uključujući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našu zemlju implementirale su ove preporuke u svoje propise i primenjuju ih u svakodnevnoj praksi.</w:t>
      </w:r>
    </w:p>
    <w:p w:rsidR="00E95EB7" w:rsidRPr="00BC45F3" w:rsidRDefault="00E95EB7" w:rsidP="00BC45F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 xml:space="preserve">Proizvodnja hrane </w:t>
      </w: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Industrija hrane je odgovorna za puštanje u promet hrane koja ispunjava sve propisima regulisane zahteve. Prerađivači hrane se oslanjaju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savremene sisteme upravljanja kvalitetom kako bi osigurali kvalitet i sigurnost proizvoda koje proizvode. Tri ključna savremen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a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sistem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a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upravljanja kvalitetom hrane koja se koriste su: </w:t>
      </w:r>
    </w:p>
    <w:p w:rsidR="00E95EB7" w:rsidRPr="00BC45F3" w:rsidRDefault="00E95EB7" w:rsidP="00BC45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Dobra proizvo</w:t>
      </w:r>
      <w:r w:rsidR="004364D8"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đačka</w:t>
      </w: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 xml:space="preserve"> praksa (</w:t>
      </w:r>
      <w:r w:rsidR="004364D8"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D</w:t>
      </w: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PP),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podrazumeva uslove i postupke obrade koji dokazano pružaju dosledan kvalitet i sigurnost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osnovu dugog iskustva. </w:t>
      </w:r>
    </w:p>
    <w:p w:rsidR="00E95EB7" w:rsidRPr="00BC45F3" w:rsidRDefault="00E95EB7" w:rsidP="00BC45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Analiza opasnosti i konrola kritičnih tačaka (HACCP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). Dok su se tradicionalni programi osiguranja bezbednosti fokusirali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identifikovanje problema u gotovom proizvodu,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lastRenderedPageBreak/>
        <w:t>HACCP, prestavlja proaktivni pristup koji se fokusira na identifikovanj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e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potencijalnih problema i obezbeđuje kontrolu nad njima tokom trajanja samog proizvodnog procesa. </w:t>
      </w:r>
    </w:p>
    <w:p w:rsidR="00E95EB7" w:rsidRPr="00BC45F3" w:rsidRDefault="00E95EB7" w:rsidP="00BC45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Standardi osiguranja kvaliteta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.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Poštovanje standarda uspostavljenih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od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strane Međunarodne organizacije za standardizaciju (ISO 9000) i Evropskog standarda (ES 29000) osigurava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ju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da prerada hrane, ugostiteljstvo i druge industrije povezane sa hranom odgovaraju propisanim i dobro dokumentovanim procedurama. Efikasnost ovih programa redovno procenjuju nezavisni stručnjaci. </w:t>
      </w: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 xml:space="preserve">Zaštita hrane </w:t>
      </w:r>
      <w:proofErr w:type="gramStart"/>
      <w:r w:rsidR="004364D8"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sa</w:t>
      </w:r>
      <w:proofErr w:type="gramEnd"/>
      <w:r w:rsidR="004364D8"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 xml:space="preserve"> </w:t>
      </w: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ambalažom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</w:t>
      </w: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4364D8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Nakon prerade proizvoda, ambalaža za hranu osigurava da hrana stigne do potrošača u neizmenjenom stanju, očuvanih senzornih karakteristika, očuvanog kvaliteta,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ali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što je najvažnije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mikrobiološki I fizičko-hemijski ispravna. Ambalaža čuva integritet, sigurnost i kvalitet prehrambenih proizvoda prilikom transporta, u veleprodajnim skladištima, maloprodajnim objektima i kod kuće. Pomaže da se održi predviđeni rok trajanja proizvoda, dok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deklaraciji nosi važne informacije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za potrošača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. Pored toga, pojedine oznake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pakovanju poput kodova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serijskih oznaka koje sadrže datum i mesto proizvodnje omogućavaju prerađivačima,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prevoznicima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i trgovcima da prate proizvode kako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u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kontrol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zaliha, tako i za identifikaciju potencijalnih opasnosti, što nazivamo principom sledljivosti.</w:t>
      </w: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Uloga potrošača u osiguranju bezbednosti hrane</w:t>
      </w: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5F5F5"/>
        </w:rPr>
      </w:pP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Potrošač je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krajnji korisnik u lancu ishrane. Važno je osigurati da hrana koja je kupljena bezbedna ostane bezbedna u kućni uslovima. Brojni su postupci koje potrošač može preduzeti kako bi hrana ostala bezbedna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kako bi se izbegla kontaminacija nakon kupovine. </w:t>
      </w:r>
    </w:p>
    <w:p w:rsidR="00E95EB7" w:rsidRPr="00BC45F3" w:rsidRDefault="00E95EB7" w:rsidP="00BC45F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Kupovina i transport</w:t>
      </w:r>
      <w:r w:rsidR="004364D8"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: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Uvek proveriti „Rok upotrebe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“ (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označava datum do kojeg proizvođač garantuje bezbednost proizvoda) ili „Najbolje upotrebiti do“ (označava datum do kojeg su očuvane karakteristike kvaliteta proizvoda) na upakovanoj hrani. Hranu koju je potrebno čuvati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temperatur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frižidera potrebno je što pre doneti kući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čuvati prema preporukama proizvođača. Savetuje se proveriti stanje smrznutih proizvoda. Ako se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proizvod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odmrzne, ne treba ih ponovo zamrzavati. Obratiti pažnju da ambalaža nije oštećena. Izbegavajti kupovinu hrane čija je ambalaža udubljena i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kupovinu 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naduvan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ih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limenk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 i konzervi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, pocepanu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ili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iskrivljenu ambalažu i oštećene sigurnosne zaptivke. </w:t>
      </w:r>
    </w:p>
    <w:p w:rsidR="00E95EB7" w:rsidRPr="00BC45F3" w:rsidRDefault="00E95EB7" w:rsidP="00BC45F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lastRenderedPageBreak/>
        <w:t>Skladištenje hrane u kućnim uslovima</w:t>
      </w:r>
      <w:r w:rsidR="004364D8"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: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Izbegavati kontakt između sirove i termički obrađene hrane. Ovo smanjuje rizik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od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unakrsne kontaminacije (prelaz bakterija sa jedne hrane na drugu). Savetuje se čuvanje sirovog mesa, živine i ribe pri dnu frižidera, a kuvanu hranu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višim policama. Ne savetuje se odlaganje vruće hrane u frižider, jer to može dovesti do porasta temperature u frižideru što kompromituje čuvanje namirnica. Hranu je potrebno čuvati umotanu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ili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u pokrivenoj posudi u frižideru. Hranu koja je izmenila senzorne karakteristike potrebno je bez odlaganja baciti. Konzerviranu hranu čuvati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čistom, hladnom i suvom mestu.</w:t>
      </w:r>
    </w:p>
    <w:p w:rsidR="00E95EB7" w:rsidRPr="00BC45F3" w:rsidRDefault="00E95EB7" w:rsidP="00BC45F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Priprema hrane</w:t>
      </w:r>
      <w:r w:rsidR="004364D8" w:rsidRPr="00BC45F3">
        <w:rPr>
          <w:rFonts w:ascii="Arial" w:eastAsia="Times New Roman" w:hAnsi="Arial" w:cs="Arial"/>
          <w:b/>
          <w:bCs/>
          <w:sz w:val="22"/>
          <w:szCs w:val="22"/>
          <w:shd w:val="clear" w:color="auto" w:fill="F5F5F5"/>
        </w:rPr>
        <w:t>: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Higijena ruku pre i posle rukovanja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sa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hranom apsolutni je prioritet. Sva eventualna oštećenja integriteta kože potrebno je pokriti pre rukovanja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sa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hranom. Sve kuhinjske površine i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pribor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važno je održavati čistim što se postiže pranjem vrućom vodom i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deterdžentom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kako bi se sprečila unakrsna kontaminacija. Nož koji se koristi za sečenje sirove hrane može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sebi imati bakterije koje se mogu preneti u drugu hranu, te je važno odvojiti pribor kojim se pripremaju sirova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termički obrađena hrana. Koristiti odvojene daske za sečenje i posuđe za sirovu i termički obrađenu hranu. Pre konzumiranja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ili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dalje pripreme savetuje se temeljno pranje sirovog voća i povrća. Smrznutu hranu odmrznuti u frižideru i kuvati je odmah nakon što se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odmrzla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. Ne ostavljajti sirovu hranu za koju je verovatno da će se pokvariti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ili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kuvanu hranu na sobnoj temperaturi duže nego što je potrebno i nikada duže od dva sata. Savetuje se da se kuvana hrana ohladi što je brže moguće (po mogućnosti u velikim plitkim šerpama), a zatim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odloži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u frižider. Ovo usporava rast bakterija, kojima najbolje pogoduje temperaturama između 10 i 60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sym w:font="Symbol" w:char="F0B0"/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C („opasna zona“). Prilikom ponovnog konzumiranja hrane koja je odložena </w:t>
      </w:r>
      <w:proofErr w:type="gramStart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na</w:t>
      </w:r>
      <w:proofErr w:type="gramEnd"/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čuvanje u frižider neophodno je podgrevanje koje je temeljno </w:t>
      </w:r>
      <w:r w:rsidR="004364D8"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>i</w:t>
      </w:r>
      <w:r w:rsidRPr="00BC45F3">
        <w:rPr>
          <w:rFonts w:ascii="Arial" w:eastAsia="Times New Roman" w:hAnsi="Arial" w:cs="Arial"/>
          <w:sz w:val="22"/>
          <w:szCs w:val="22"/>
          <w:shd w:val="clear" w:color="auto" w:fill="F5F5F5"/>
        </w:rPr>
        <w:t xml:space="preserve"> dovoljno dugotrejno, kako bi se otklonile bakterije koje su se eventualno razvile. Ukoliko nismo sigurni u bezbednost hrane koju želimo da konzumiramo, uvek je najbolji savet takvu hranu baciti, kako bi se izbegle potencijalne alimentarne infekcije – princip predostrožnosti.</w:t>
      </w:r>
    </w:p>
    <w:p w:rsidR="00E95EB7" w:rsidRPr="00BC45F3" w:rsidRDefault="00E95EB7" w:rsidP="00BC45F3">
      <w:pPr>
        <w:spacing w:line="360" w:lineRule="auto"/>
        <w:ind w:left="41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E6538" w:rsidRPr="00BC45F3" w:rsidRDefault="006E6538" w:rsidP="00BC45F3">
      <w:pPr>
        <w:spacing w:line="360" w:lineRule="auto"/>
        <w:ind w:left="41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5EB7" w:rsidRPr="00BC45F3" w:rsidRDefault="00E95EB7" w:rsidP="00BC45F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bookmarkEnd w:id="0"/>
    <w:p w:rsidR="00E95EB7" w:rsidRPr="00BC45F3" w:rsidRDefault="00E95EB7" w:rsidP="00BC45F3">
      <w:pPr>
        <w:spacing w:line="360" w:lineRule="auto"/>
        <w:jc w:val="both"/>
        <w:rPr>
          <w:sz w:val="22"/>
          <w:szCs w:val="22"/>
        </w:rPr>
      </w:pPr>
    </w:p>
    <w:sectPr w:rsidR="00E95EB7" w:rsidRPr="00BC45F3" w:rsidSect="00394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C01"/>
    <w:multiLevelType w:val="hybridMultilevel"/>
    <w:tmpl w:val="0966DF7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CB0639A"/>
    <w:multiLevelType w:val="hybridMultilevel"/>
    <w:tmpl w:val="22E8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15"/>
    <w:rsid w:val="0014444B"/>
    <w:rsid w:val="00394E56"/>
    <w:rsid w:val="004364D8"/>
    <w:rsid w:val="006E6538"/>
    <w:rsid w:val="007657B6"/>
    <w:rsid w:val="00805EB3"/>
    <w:rsid w:val="00A10BC8"/>
    <w:rsid w:val="00B3424F"/>
    <w:rsid w:val="00BC45F3"/>
    <w:rsid w:val="00E24D15"/>
    <w:rsid w:val="00E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6F83-BD34-9646-A23F-C3AD1C24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korisnik</cp:lastModifiedBy>
  <cp:revision>2</cp:revision>
  <dcterms:created xsi:type="dcterms:W3CDTF">2020-10-05T06:57:00Z</dcterms:created>
  <dcterms:modified xsi:type="dcterms:W3CDTF">2020-10-05T06:57:00Z</dcterms:modified>
</cp:coreProperties>
</file>