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2.xml" ContentType="application/vnd.openxmlformats-officedocument.themeOverride+xml"/>
  <Override PartName="/word/drawings/drawing3.xml" ContentType="application/vnd.openxmlformats-officedocument.drawingml.chartshapes+xml"/>
  <Override PartName="/word/charts/chart4.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2D0" w:rsidRPr="00FE5B7C" w:rsidRDefault="008C22D0" w:rsidP="008C22D0">
      <w:pPr>
        <w:pStyle w:val="NoSpacing"/>
        <w:jc w:val="center"/>
        <w:rPr>
          <w:rFonts w:asciiTheme="majorHAnsi" w:hAnsiTheme="majorHAnsi"/>
        </w:rPr>
      </w:pPr>
      <w:bookmarkStart w:id="0" w:name="_Toc389134445"/>
      <w:bookmarkStart w:id="1" w:name="_Toc515520266"/>
    </w:p>
    <w:p w:rsidR="008C22D0" w:rsidRDefault="008C22D0" w:rsidP="008C22D0">
      <w:pPr>
        <w:pStyle w:val="NoSpacing"/>
        <w:jc w:val="center"/>
        <w:rPr>
          <w:rFonts w:asciiTheme="majorHAnsi" w:hAnsiTheme="majorHAnsi"/>
        </w:rPr>
      </w:pPr>
    </w:p>
    <w:p w:rsidR="008C22D0" w:rsidRDefault="008C22D0" w:rsidP="008C22D0">
      <w:pPr>
        <w:pStyle w:val="NoSpacing"/>
        <w:jc w:val="center"/>
        <w:rPr>
          <w:rFonts w:asciiTheme="majorHAnsi" w:hAnsiTheme="majorHAnsi"/>
        </w:rPr>
      </w:pPr>
    </w:p>
    <w:p w:rsidR="008C22D0" w:rsidRDefault="008C22D0" w:rsidP="008C22D0">
      <w:pPr>
        <w:pStyle w:val="NoSpacing"/>
        <w:jc w:val="center"/>
        <w:rPr>
          <w:rFonts w:asciiTheme="majorHAnsi" w:hAnsiTheme="majorHAnsi"/>
        </w:rPr>
      </w:pPr>
    </w:p>
    <w:p w:rsidR="008C22D0" w:rsidRDefault="008C22D0" w:rsidP="008C22D0">
      <w:pPr>
        <w:pStyle w:val="NoSpacing"/>
        <w:jc w:val="center"/>
        <w:rPr>
          <w:rFonts w:asciiTheme="majorHAnsi" w:hAnsiTheme="majorHAnsi"/>
        </w:rPr>
      </w:pPr>
    </w:p>
    <w:p w:rsidR="008C22D0" w:rsidRPr="00FE5B7C" w:rsidRDefault="008C22D0" w:rsidP="008C22D0">
      <w:pPr>
        <w:rPr>
          <w:rFonts w:asciiTheme="majorHAnsi" w:hAnsiTheme="majorHAnsi" w:cs="Arial"/>
          <w:lang w:val="sr-Cyrl-CS"/>
        </w:rPr>
      </w:pPr>
    </w:p>
    <w:p w:rsidR="008C22D0" w:rsidRPr="00D977AF" w:rsidRDefault="00D745F7" w:rsidP="00D745F7">
      <w:pPr>
        <w:pStyle w:val="Heading1"/>
        <w:jc w:val="center"/>
        <w:rPr>
          <w:rFonts w:cs="Arial"/>
          <w:b/>
          <w:sz w:val="36"/>
          <w:szCs w:val="36"/>
          <w:lang w:val="sr-Cyrl-RS"/>
        </w:rPr>
      </w:pPr>
      <w:bookmarkStart w:id="2" w:name="_Toc515524107"/>
      <w:r w:rsidRPr="00D977AF">
        <w:rPr>
          <w:rFonts w:cs="Arial"/>
          <w:b/>
          <w:sz w:val="36"/>
          <w:szCs w:val="36"/>
          <w:lang w:val="sr-Latn-CS"/>
        </w:rPr>
        <w:t>По</w:t>
      </w:r>
      <w:r w:rsidRPr="00D977AF">
        <w:rPr>
          <w:rFonts w:cs="Arial"/>
          <w:b/>
          <w:sz w:val="36"/>
          <w:szCs w:val="36"/>
          <w:lang w:val="sr-Cyrl-RS"/>
        </w:rPr>
        <w:t>требни по</w:t>
      </w:r>
      <w:r w:rsidRPr="00D977AF">
        <w:rPr>
          <w:rFonts w:cs="Arial"/>
          <w:b/>
          <w:sz w:val="36"/>
          <w:szCs w:val="36"/>
          <w:lang w:val="sr-Latn-CS"/>
        </w:rPr>
        <w:t xml:space="preserve">даци </w:t>
      </w:r>
      <w:bookmarkEnd w:id="2"/>
      <w:r w:rsidRPr="00D977AF">
        <w:rPr>
          <w:rFonts w:cs="Arial"/>
          <w:b/>
          <w:sz w:val="36"/>
          <w:szCs w:val="36"/>
          <w:lang w:val="sr-Cyrl-RS"/>
        </w:rPr>
        <w:t xml:space="preserve"> за израду  процене ризика од катастрофа у АПВ</w:t>
      </w:r>
    </w:p>
    <w:p w:rsidR="00D977AF" w:rsidRPr="00D977AF" w:rsidRDefault="00D977AF" w:rsidP="00D977AF">
      <w:pPr>
        <w:rPr>
          <w:b/>
          <w:sz w:val="36"/>
          <w:szCs w:val="36"/>
          <w:lang w:val="sr-Cyrl-RS"/>
        </w:rPr>
      </w:pPr>
    </w:p>
    <w:p w:rsidR="00D745F7" w:rsidRPr="00D977AF" w:rsidRDefault="00D745F7" w:rsidP="00D745F7">
      <w:pPr>
        <w:rPr>
          <w:b/>
          <w:sz w:val="36"/>
          <w:szCs w:val="36"/>
          <w:lang w:val="sr-Cyrl-RS"/>
        </w:rPr>
      </w:pPr>
    </w:p>
    <w:p w:rsidR="00D745F7" w:rsidRPr="00D977AF" w:rsidRDefault="00D745F7" w:rsidP="00D977AF">
      <w:pPr>
        <w:jc w:val="center"/>
        <w:rPr>
          <w:b/>
          <w:sz w:val="24"/>
          <w:szCs w:val="24"/>
          <w:lang w:val="sr-Cyrl-RS"/>
        </w:rPr>
      </w:pPr>
      <w:r w:rsidRPr="00D977AF">
        <w:rPr>
          <w:b/>
          <w:sz w:val="36"/>
          <w:szCs w:val="36"/>
          <w:lang w:val="sr-Cyrl-RS"/>
        </w:rPr>
        <w:t>-</w:t>
      </w:r>
      <w:r w:rsidRPr="00D977AF">
        <w:rPr>
          <w:b/>
          <w:sz w:val="24"/>
          <w:szCs w:val="24"/>
          <w:lang w:val="sr-Cyrl-RS"/>
        </w:rPr>
        <w:t>подаци о епидемијама и пандемијама, врстама болести, јављању и број оболелих, вакцинацији становништва, угрожености подручја епидемијама који настају као последица хигијенско санитарних усл</w:t>
      </w:r>
      <w:r w:rsidR="00D977AF" w:rsidRPr="00D977AF">
        <w:rPr>
          <w:b/>
          <w:sz w:val="24"/>
          <w:szCs w:val="24"/>
          <w:lang w:val="sr-Cyrl-RS"/>
        </w:rPr>
        <w:t xml:space="preserve">ова и инфраструктуре територије и анализа са аспекта </w:t>
      </w:r>
      <w:r w:rsidRPr="00D977AF">
        <w:rPr>
          <w:b/>
          <w:sz w:val="24"/>
          <w:szCs w:val="24"/>
          <w:lang w:val="sr-Cyrl-RS"/>
        </w:rPr>
        <w:t>постојања различитих врста епидемија</w:t>
      </w:r>
      <w:r w:rsidR="00D977AF" w:rsidRPr="00D977AF">
        <w:rPr>
          <w:b/>
          <w:sz w:val="24"/>
          <w:szCs w:val="24"/>
          <w:lang w:val="sr-Cyrl-RS"/>
        </w:rPr>
        <w:t xml:space="preserve"> у периоду од  2008-2017</w:t>
      </w:r>
    </w:p>
    <w:p w:rsidR="008C22D0" w:rsidRPr="00D977AF" w:rsidRDefault="008C22D0" w:rsidP="008C22D0">
      <w:pPr>
        <w:pStyle w:val="NoSpacing"/>
        <w:rPr>
          <w:rFonts w:asciiTheme="majorHAnsi" w:hAnsiTheme="majorHAnsi" w:cs="Arial"/>
          <w:noProof/>
          <w:sz w:val="24"/>
          <w:szCs w:val="24"/>
          <w:lang w:val="sr-Cyrl-CS"/>
        </w:rPr>
      </w:pPr>
    </w:p>
    <w:p w:rsidR="00D977AF" w:rsidRPr="00D977AF" w:rsidRDefault="00D977AF" w:rsidP="008C22D0">
      <w:pPr>
        <w:pStyle w:val="NoSpacing"/>
        <w:rPr>
          <w:rFonts w:asciiTheme="majorHAnsi" w:hAnsiTheme="majorHAnsi" w:cs="Arial"/>
          <w:noProof/>
          <w:sz w:val="24"/>
          <w:szCs w:val="24"/>
          <w:lang w:val="sr-Cyrl-CS"/>
        </w:rPr>
      </w:pPr>
    </w:p>
    <w:p w:rsidR="00D977AF" w:rsidRPr="00D977AF" w:rsidRDefault="00D977AF" w:rsidP="008C22D0">
      <w:pPr>
        <w:pStyle w:val="NoSpacing"/>
        <w:rPr>
          <w:rFonts w:asciiTheme="majorHAnsi" w:hAnsiTheme="majorHAnsi" w:cs="Arial"/>
          <w:noProof/>
          <w:sz w:val="24"/>
          <w:szCs w:val="24"/>
          <w:lang w:val="sr-Cyrl-CS"/>
        </w:rPr>
      </w:pPr>
    </w:p>
    <w:p w:rsidR="00D977AF" w:rsidRPr="00D977AF" w:rsidRDefault="00D977AF" w:rsidP="008C22D0">
      <w:pPr>
        <w:pStyle w:val="NoSpacing"/>
        <w:rPr>
          <w:rFonts w:asciiTheme="majorHAnsi" w:hAnsiTheme="majorHAnsi" w:cs="Arial"/>
          <w:noProof/>
          <w:sz w:val="24"/>
          <w:szCs w:val="24"/>
          <w:lang w:val="sr-Cyrl-CS"/>
        </w:rPr>
      </w:pPr>
    </w:p>
    <w:p w:rsidR="00D977AF" w:rsidRPr="00D977AF" w:rsidRDefault="00D977AF" w:rsidP="008C22D0">
      <w:pPr>
        <w:pStyle w:val="NoSpacing"/>
        <w:rPr>
          <w:rFonts w:asciiTheme="majorHAnsi" w:hAnsiTheme="majorHAnsi" w:cs="Arial"/>
          <w:noProof/>
          <w:sz w:val="24"/>
          <w:szCs w:val="24"/>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D977AF" w:rsidRDefault="00D977AF" w:rsidP="008C22D0">
      <w:pPr>
        <w:pStyle w:val="NoSpacing"/>
        <w:rPr>
          <w:rFonts w:asciiTheme="majorHAnsi" w:hAnsiTheme="majorHAnsi" w:cs="Arial"/>
          <w:noProof/>
          <w:lang w:val="sr-Cyrl-CS"/>
        </w:rPr>
      </w:pPr>
    </w:p>
    <w:p w:rsidR="008C22D0" w:rsidRPr="00FE5B7C" w:rsidRDefault="008C22D0" w:rsidP="00D977AF">
      <w:pPr>
        <w:pStyle w:val="NoSpacing"/>
        <w:rPr>
          <w:rFonts w:asciiTheme="majorHAnsi" w:hAnsiTheme="majorHAnsi" w:cs="Arial"/>
          <w:noProof/>
          <w:lang w:val="sr-Cyrl-CS"/>
        </w:rPr>
      </w:pPr>
    </w:p>
    <w:p w:rsidR="00335953" w:rsidRPr="00720D51" w:rsidRDefault="00335953" w:rsidP="00223E38">
      <w:pPr>
        <w:pStyle w:val="Heading2"/>
        <w:rPr>
          <w:b/>
        </w:rPr>
      </w:pPr>
      <w:bookmarkStart w:id="3" w:name="_Toc389134446"/>
      <w:bookmarkStart w:id="4" w:name="_Toc515520267"/>
      <w:bookmarkStart w:id="5" w:name="_Toc515524109"/>
      <w:bookmarkEnd w:id="0"/>
      <w:bookmarkEnd w:id="1"/>
      <w:r w:rsidRPr="00720D51">
        <w:rPr>
          <w:b/>
        </w:rPr>
        <w:t>Увод</w:t>
      </w:r>
      <w:bookmarkEnd w:id="3"/>
      <w:bookmarkEnd w:id="4"/>
      <w:bookmarkEnd w:id="5"/>
      <w:r w:rsidRPr="00720D51">
        <w:rPr>
          <w:b/>
        </w:rPr>
        <w:t xml:space="preserve"> </w:t>
      </w:r>
    </w:p>
    <w:p w:rsidR="00335953" w:rsidRPr="005B6370" w:rsidRDefault="00335953" w:rsidP="00720D51">
      <w:r w:rsidRPr="005B6370">
        <w:t>Надзор над заразним болестима, праћење и анализу епидемиолошке ситуације заразних болести у АП Војводини спроводе центри за контролу и превенцију болести, који су организовани при Институту за јавно здравље Војводине, заводима за јавно здравље у Панчеву, Сремској Митровици, Суботици, Сомбору, Кикинди и Зрењанину и епидемиоло</w:t>
      </w:r>
      <w:r w:rsidR="000950CD">
        <w:t>шк</w:t>
      </w:r>
      <w:r w:rsidR="000B5AC8">
        <w:t>е</w:t>
      </w:r>
      <w:r w:rsidR="000950CD">
        <w:t xml:space="preserve"> служб</w:t>
      </w:r>
      <w:r w:rsidR="000B5AC8">
        <w:t>е</w:t>
      </w:r>
      <w:r w:rsidRPr="005B6370">
        <w:t xml:space="preserve"> у домовима здравља Врбас, Бачка Паланка, Рума, Стара Пазова и Инђија. Центри за контролу и превенцију болести су хоризонтално повезани у функционалну целину и интегрално повезани са Центром за превенцију и контролу заразних болести Института за јавно здравље Србије.</w:t>
      </w:r>
      <w:r w:rsidR="004F09E2">
        <w:t xml:space="preserve"> </w:t>
      </w:r>
    </w:p>
    <w:p w:rsidR="00173780" w:rsidRDefault="00D977AF" w:rsidP="00720D51">
      <w:r>
        <w:rPr>
          <w:lang w:val="sr-Cyrl-RS"/>
        </w:rPr>
        <w:t xml:space="preserve">У прилогу је </w:t>
      </w:r>
      <w:r>
        <w:t>анализа кретања и дистрибуције</w:t>
      </w:r>
      <w:r w:rsidR="004F09E2">
        <w:t xml:space="preserve"> </w:t>
      </w:r>
      <w:r>
        <w:t>заразних болести, резултата</w:t>
      </w:r>
      <w:r w:rsidR="00335953" w:rsidRPr="005B6370">
        <w:t xml:space="preserve"> циљаних епидемиол</w:t>
      </w:r>
      <w:r>
        <w:t>ошких испитивања, карактеристика</w:t>
      </w:r>
      <w:r w:rsidR="00335953" w:rsidRPr="005B6370">
        <w:t xml:space="preserve"> регистрованих епидеми</w:t>
      </w:r>
      <w:r>
        <w:t>ја, резултата</w:t>
      </w:r>
      <w:r w:rsidR="009721CC">
        <w:t xml:space="preserve"> </w:t>
      </w:r>
      <w:r w:rsidR="00335953" w:rsidRPr="005B6370">
        <w:t>спречавања и сузбијања заразних болести, који су постигнути у сарадњи са домовима здравља на подручју АП Војводине, Клиником за инфективне болести Клиничког центра Војводине и инфектолошким одељењима, Институтом за заштиту здравља деце и омладине Војводине и дечјим одељењима,</w:t>
      </w:r>
      <w:r w:rsidR="00637C47">
        <w:t xml:space="preserve"> Инстит</w:t>
      </w:r>
      <w:r w:rsidR="008C70B9">
        <w:t>утом за плућне болести</w:t>
      </w:r>
      <w:r w:rsidR="00376423">
        <w:t xml:space="preserve"> Војводине</w:t>
      </w:r>
      <w:r w:rsidR="008C70B9">
        <w:t xml:space="preserve"> и пулмолошким одељењима,</w:t>
      </w:r>
      <w:r w:rsidR="00335953" w:rsidRPr="005B6370">
        <w:t xml:space="preserve"> Заводом за заштиту здравља студената Нови Сад као и осталим здравственим установама и инспекцијским службама.</w:t>
      </w:r>
      <w:r w:rsidR="004F09E2">
        <w:t xml:space="preserve"> </w:t>
      </w:r>
      <w:r w:rsidR="00335953" w:rsidRPr="005B6370">
        <w:t>Циљ анализе је идентификација приоритетних епидемиолошких проблема, праћење трендова и дистрибуције болести у популацији, резултата спровођења имуниза</w:t>
      </w:r>
      <w:r w:rsidR="0042461F">
        <w:t>ције и других мера спречавања и</w:t>
      </w:r>
      <w:r w:rsidR="00237D49">
        <w:t xml:space="preserve"> </w:t>
      </w:r>
      <w:r w:rsidR="00335953" w:rsidRPr="005B6370">
        <w:t>сузбијања заразних болести</w:t>
      </w:r>
      <w:r w:rsidR="002E30D1">
        <w:t>.</w:t>
      </w:r>
    </w:p>
    <w:p w:rsidR="008F56A7" w:rsidRDefault="00CE37B7" w:rsidP="00D977AF">
      <w:pPr>
        <w:rPr>
          <w:rFonts w:asciiTheme="majorHAnsi" w:hAnsiTheme="majorHAnsi" w:cs="Arial"/>
          <w:szCs w:val="20"/>
          <w:lang w:val="sr-Cyrl-RS"/>
        </w:rPr>
      </w:pPr>
      <w:r>
        <w:t xml:space="preserve">Епидемиолошки надзор над </w:t>
      </w:r>
      <w:r w:rsidR="00335953" w:rsidRPr="005B6370">
        <w:t>заразни</w:t>
      </w:r>
      <w:r>
        <w:t>м</w:t>
      </w:r>
      <w:r w:rsidR="00335953" w:rsidRPr="005B6370">
        <w:t xml:space="preserve"> болести</w:t>
      </w:r>
      <w:r>
        <w:t>ма</w:t>
      </w:r>
      <w:r w:rsidR="00335953" w:rsidRPr="005B6370">
        <w:t xml:space="preserve"> у нашој земљи </w:t>
      </w:r>
      <w:r>
        <w:t>ј</w:t>
      </w:r>
      <w:r w:rsidR="00335953" w:rsidRPr="005B6370">
        <w:t xml:space="preserve">е </w:t>
      </w:r>
      <w:r>
        <w:t>регулисан законским прописима и подзаконским актима</w:t>
      </w:r>
      <w:r w:rsidRPr="008F56A7">
        <w:rPr>
          <w:color w:val="FF0000"/>
        </w:rPr>
        <w:t xml:space="preserve">. </w:t>
      </w:r>
    </w:p>
    <w:p w:rsidR="00D977AF" w:rsidRPr="00D977AF" w:rsidRDefault="00B3307F" w:rsidP="004C34E7">
      <w:pPr>
        <w:rPr>
          <w:lang w:val="sr-Cyrl-RS"/>
        </w:rPr>
      </w:pPr>
      <w:r w:rsidRPr="00FF5CED">
        <w:t xml:space="preserve">Анализа кретања заразних болести </w:t>
      </w:r>
      <w:r w:rsidR="00FF5CED" w:rsidRPr="00FF5CED">
        <w:t>у периоду 2008 – 201</w:t>
      </w:r>
      <w:r w:rsidR="0007545D">
        <w:rPr>
          <w:lang w:val="sr-Cyrl-RS"/>
        </w:rPr>
        <w:t>7</w:t>
      </w:r>
      <w:r w:rsidR="00AD4453" w:rsidRPr="00FF5CED">
        <w:t>. година</w:t>
      </w:r>
      <w:r w:rsidR="00250C27" w:rsidRPr="00FF5CED">
        <w:t xml:space="preserve"> показује </w:t>
      </w:r>
      <w:r w:rsidR="006A3C43">
        <w:rPr>
          <w:lang w:val="sr-Cyrl-RS"/>
        </w:rPr>
        <w:t>мање осцилације са благим трендом пада у регистрованој инциденцији. Креће се од 203,8/100000</w:t>
      </w:r>
      <w:r w:rsidR="00981361">
        <w:rPr>
          <w:lang w:val="sr-Cyrl-RS"/>
        </w:rPr>
        <w:t xml:space="preserve"> (2008. године) </w:t>
      </w:r>
      <w:r w:rsidR="006A3C43">
        <w:rPr>
          <w:lang w:val="sr-Cyrl-RS"/>
        </w:rPr>
        <w:t xml:space="preserve"> до 120,8/100000 </w:t>
      </w:r>
      <w:r w:rsidR="00981361">
        <w:rPr>
          <w:lang w:val="sr-Cyrl-RS"/>
        </w:rPr>
        <w:t xml:space="preserve">(2017. године)Регистроване </w:t>
      </w:r>
      <w:r w:rsidR="00981361">
        <w:t>стопе</w:t>
      </w:r>
      <w:r w:rsidRPr="006A3C43">
        <w:t xml:space="preserve"> инциде</w:t>
      </w:r>
      <w:r w:rsidR="00EC209D" w:rsidRPr="006A3C43">
        <w:t xml:space="preserve">нције заразних болести </w:t>
      </w:r>
      <w:r w:rsidR="0093706D" w:rsidRPr="006A3C43">
        <w:t>у 2017</w:t>
      </w:r>
      <w:r w:rsidR="00216664" w:rsidRPr="006A3C43">
        <w:t xml:space="preserve">. години </w:t>
      </w:r>
      <w:r w:rsidR="006A3C43">
        <w:t xml:space="preserve"> и</w:t>
      </w:r>
      <w:r w:rsidR="00981361">
        <w:t xml:space="preserve"> стопе</w:t>
      </w:r>
      <w:r w:rsidR="006A3C43">
        <w:t xml:space="preserve"> морталитета</w:t>
      </w:r>
      <w:r w:rsidR="00981361">
        <w:rPr>
          <w:lang w:val="sr-Cyrl-RS"/>
        </w:rPr>
        <w:t xml:space="preserve"> </w:t>
      </w:r>
      <w:r w:rsidR="00216664" w:rsidRPr="006A3C43">
        <w:t xml:space="preserve"> </w:t>
      </w:r>
      <w:r w:rsidR="006A3C43">
        <w:rPr>
          <w:lang w:val="sr-Cyrl-RS"/>
        </w:rPr>
        <w:t>су најниже у протеклих десет година</w:t>
      </w:r>
      <w:r w:rsidR="00D977AF">
        <w:rPr>
          <w:lang w:val="sr-Cyrl-RS"/>
        </w:rPr>
        <w:t xml:space="preserve"> (табела 1)</w:t>
      </w:r>
      <w:r w:rsidR="00864E57" w:rsidRPr="00EC209D">
        <w:t xml:space="preserve"> </w:t>
      </w:r>
      <w:r w:rsidR="00D977AF">
        <w:rPr>
          <w:lang w:val="sr-Cyrl-RS"/>
        </w:rPr>
        <w:t>.</w:t>
      </w:r>
    </w:p>
    <w:p w:rsidR="00482665" w:rsidRDefault="00482665" w:rsidP="00981361">
      <w:pPr>
        <w:pStyle w:val="Caption"/>
        <w:spacing w:before="0" w:after="0"/>
      </w:pPr>
      <w:r w:rsidRPr="005B6370">
        <w:t>Табела</w:t>
      </w:r>
      <w:r>
        <w:t xml:space="preserve"> </w:t>
      </w:r>
      <w:r w:rsidRPr="005B6370">
        <w:fldChar w:fldCharType="begin"/>
      </w:r>
      <w:r w:rsidRPr="005B6370">
        <w:instrText xml:space="preserve"> SEQ Табела_ \* ARABIC </w:instrText>
      </w:r>
      <w:r w:rsidRPr="005B6370">
        <w:fldChar w:fldCharType="separate"/>
      </w:r>
      <w:r w:rsidR="00AE40C2">
        <w:t>1</w:t>
      </w:r>
      <w:r w:rsidRPr="005B6370">
        <w:fldChar w:fldCharType="end"/>
      </w:r>
      <w:r w:rsidRPr="005B6370">
        <w:t xml:space="preserve">. Кретање заразних болести у </w:t>
      </w:r>
      <w:r>
        <w:t xml:space="preserve">АП </w:t>
      </w:r>
      <w:r w:rsidRPr="005B6370">
        <w:t>Војв</w:t>
      </w:r>
      <w:r>
        <w:t>одини у периоду од 2008. до 2017</w:t>
      </w:r>
      <w:r w:rsidRPr="005B6370">
        <w:t>.</w:t>
      </w:r>
      <w:r>
        <w:rPr>
          <w:lang w:val="sr-Cyrl-CS"/>
        </w:rPr>
        <w:t xml:space="preserve"> </w:t>
      </w:r>
      <w:r w:rsidRPr="005B6370">
        <w:t>годин</w:t>
      </w:r>
      <w:r>
        <w:t>е</w:t>
      </w:r>
      <w:r w:rsidRPr="005B6370">
        <w:t xml:space="preserve"> (без грипе) </w:t>
      </w:r>
    </w:p>
    <w:tbl>
      <w:tblPr>
        <w:tblStyle w:val="PlainTable51"/>
        <w:tblW w:w="9569" w:type="dxa"/>
        <w:jc w:val="center"/>
        <w:tblLook w:val="04A0" w:firstRow="1" w:lastRow="0" w:firstColumn="1" w:lastColumn="0" w:noHBand="0" w:noVBand="1"/>
      </w:tblPr>
      <w:tblGrid>
        <w:gridCol w:w="1628"/>
        <w:gridCol w:w="1777"/>
        <w:gridCol w:w="2294"/>
        <w:gridCol w:w="1638"/>
        <w:gridCol w:w="2232"/>
      </w:tblGrid>
      <w:tr w:rsidR="00482665" w:rsidRPr="005B6370" w:rsidTr="00B03CC0">
        <w:trPr>
          <w:cnfStyle w:val="100000000000" w:firstRow="1" w:lastRow="0" w:firstColumn="0" w:lastColumn="0" w:oddVBand="0" w:evenVBand="0" w:oddHBand="0" w:evenHBand="0" w:firstRowFirstColumn="0" w:firstRowLastColumn="0" w:lastRowFirstColumn="0" w:lastRowLastColumn="0"/>
          <w:trHeight w:val="285"/>
          <w:jc w:val="center"/>
        </w:trPr>
        <w:tc>
          <w:tcPr>
            <w:cnfStyle w:val="001000000100" w:firstRow="0" w:lastRow="0" w:firstColumn="1" w:lastColumn="0" w:oddVBand="0" w:evenVBand="0" w:oddHBand="0" w:evenHBand="0" w:firstRowFirstColumn="1" w:firstRowLastColumn="0" w:lastRowFirstColumn="0" w:lastRowLastColumn="0"/>
            <w:tcW w:w="1628" w:type="dxa"/>
          </w:tcPr>
          <w:p w:rsidR="00482665" w:rsidRPr="005B6370" w:rsidRDefault="00482665" w:rsidP="00B03CC0">
            <w:pPr>
              <w:spacing w:line="259" w:lineRule="auto"/>
              <w:jc w:val="right"/>
              <w:rPr>
                <w:color w:val="FFFFFF"/>
              </w:rPr>
            </w:pPr>
            <w:r w:rsidRPr="005B6370">
              <w:rPr>
                <w:color w:val="FFFFFF"/>
              </w:rPr>
              <w:t xml:space="preserve">Година </w:t>
            </w:r>
          </w:p>
        </w:tc>
        <w:tc>
          <w:tcPr>
            <w:tcW w:w="1777" w:type="dxa"/>
          </w:tcPr>
          <w:p w:rsidR="00482665" w:rsidRPr="005B6370" w:rsidRDefault="00482665" w:rsidP="00B03CC0">
            <w:pPr>
              <w:spacing w:line="259" w:lineRule="auto"/>
              <w:jc w:val="right"/>
              <w:cnfStyle w:val="100000000000" w:firstRow="1" w:lastRow="0" w:firstColumn="0" w:lastColumn="0" w:oddVBand="0" w:evenVBand="0" w:oddHBand="0" w:evenHBand="0" w:firstRowFirstColumn="0" w:firstRowLastColumn="0" w:lastRowFirstColumn="0" w:lastRowLastColumn="0"/>
              <w:rPr>
                <w:color w:val="FFFFFF"/>
              </w:rPr>
            </w:pPr>
            <w:r w:rsidRPr="005B6370">
              <w:rPr>
                <w:color w:val="FFFFFF"/>
              </w:rPr>
              <w:t xml:space="preserve">Број оболелих </w:t>
            </w:r>
          </w:p>
        </w:tc>
        <w:tc>
          <w:tcPr>
            <w:tcW w:w="2294" w:type="dxa"/>
          </w:tcPr>
          <w:p w:rsidR="00482665" w:rsidRPr="005B6370" w:rsidRDefault="00482665" w:rsidP="00B03CC0">
            <w:pPr>
              <w:spacing w:line="259" w:lineRule="auto"/>
              <w:jc w:val="right"/>
              <w:cnfStyle w:val="100000000000" w:firstRow="1" w:lastRow="0" w:firstColumn="0" w:lastColumn="0" w:oddVBand="0" w:evenVBand="0" w:oddHBand="0" w:evenHBand="0" w:firstRowFirstColumn="0" w:firstRowLastColumn="0" w:lastRowFirstColumn="0" w:lastRowLastColumn="0"/>
              <w:rPr>
                <w:color w:val="FFFFFF"/>
              </w:rPr>
            </w:pPr>
            <w:r w:rsidRPr="005B6370">
              <w:rPr>
                <w:color w:val="FFFFFF"/>
              </w:rPr>
              <w:t xml:space="preserve">Инциденција/100000 </w:t>
            </w:r>
          </w:p>
        </w:tc>
        <w:tc>
          <w:tcPr>
            <w:tcW w:w="1638" w:type="dxa"/>
          </w:tcPr>
          <w:p w:rsidR="00482665" w:rsidRPr="005B6370" w:rsidRDefault="00482665" w:rsidP="00B03CC0">
            <w:pPr>
              <w:spacing w:line="259" w:lineRule="auto"/>
              <w:jc w:val="right"/>
              <w:cnfStyle w:val="100000000000" w:firstRow="1" w:lastRow="0" w:firstColumn="0" w:lastColumn="0" w:oddVBand="0" w:evenVBand="0" w:oddHBand="0" w:evenHBand="0" w:firstRowFirstColumn="0" w:firstRowLastColumn="0" w:lastRowFirstColumn="0" w:lastRowLastColumn="0"/>
              <w:rPr>
                <w:color w:val="FFFFFF"/>
              </w:rPr>
            </w:pPr>
            <w:r w:rsidRPr="005B6370">
              <w:rPr>
                <w:color w:val="FFFFFF"/>
              </w:rPr>
              <w:t xml:space="preserve">Број умрлих </w:t>
            </w:r>
          </w:p>
        </w:tc>
        <w:tc>
          <w:tcPr>
            <w:tcW w:w="2232" w:type="dxa"/>
          </w:tcPr>
          <w:p w:rsidR="00482665" w:rsidRPr="005B6370" w:rsidRDefault="00482665" w:rsidP="00B03CC0">
            <w:pPr>
              <w:spacing w:line="259" w:lineRule="auto"/>
              <w:jc w:val="right"/>
              <w:cnfStyle w:val="100000000000" w:firstRow="1" w:lastRow="0" w:firstColumn="0" w:lastColumn="0" w:oddVBand="0" w:evenVBand="0" w:oddHBand="0" w:evenHBand="0" w:firstRowFirstColumn="0" w:firstRowLastColumn="0" w:lastRowFirstColumn="0" w:lastRowLastColumn="0"/>
              <w:rPr>
                <w:color w:val="FFFFFF"/>
              </w:rPr>
            </w:pPr>
            <w:r w:rsidRPr="005B6370">
              <w:rPr>
                <w:color w:val="FFFFFF"/>
              </w:rPr>
              <w:t xml:space="preserve">Морталитет/100000 </w:t>
            </w:r>
          </w:p>
        </w:tc>
      </w:tr>
      <w:tr w:rsidR="00482665" w:rsidRPr="005B6370" w:rsidTr="00B03CC0">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1628" w:type="dxa"/>
          </w:tcPr>
          <w:p w:rsidR="00482665" w:rsidRPr="00D628BB" w:rsidRDefault="00482665" w:rsidP="00B03CC0">
            <w:pPr>
              <w:spacing w:line="259" w:lineRule="auto"/>
              <w:jc w:val="right"/>
            </w:pPr>
            <w:r>
              <w:t>2008.</w:t>
            </w:r>
          </w:p>
        </w:tc>
        <w:tc>
          <w:tcPr>
            <w:tcW w:w="1777" w:type="dxa"/>
          </w:tcPr>
          <w:p w:rsidR="00482665" w:rsidRPr="0007545D" w:rsidRDefault="00482665" w:rsidP="00482665">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noProof w:val="0"/>
                <w:color w:val="000000"/>
                <w:szCs w:val="22"/>
              </w:rPr>
            </w:pPr>
            <w:r w:rsidRPr="0007545D">
              <w:rPr>
                <w:rFonts w:ascii="Century Gothic" w:hAnsi="Century Gothic"/>
                <w:color w:val="000000"/>
                <w:szCs w:val="22"/>
              </w:rPr>
              <w:t>4126</w:t>
            </w:r>
          </w:p>
        </w:tc>
        <w:tc>
          <w:tcPr>
            <w:tcW w:w="2294" w:type="dxa"/>
          </w:tcPr>
          <w:p w:rsidR="00482665" w:rsidRPr="00E80E0F" w:rsidRDefault="00F10858" w:rsidP="00E80E0F">
            <w:pPr>
              <w:spacing w:line="259" w:lineRule="auto"/>
              <w:jc w:val="right"/>
              <w:cnfStyle w:val="000000100000" w:firstRow="0" w:lastRow="0" w:firstColumn="0" w:lastColumn="0" w:oddVBand="0" w:evenVBand="0" w:oddHBand="1" w:evenHBand="0" w:firstRowFirstColumn="0" w:firstRowLastColumn="0" w:lastRowFirstColumn="0" w:lastRowLastColumn="0"/>
              <w:rPr>
                <w:lang w:val="sr-Cyrl-RS"/>
              </w:rPr>
            </w:pPr>
            <w:r>
              <w:t>203,</w:t>
            </w:r>
            <w:r w:rsidR="00E80E0F">
              <w:rPr>
                <w:lang w:val="sr-Cyrl-RS"/>
              </w:rPr>
              <w:t>8</w:t>
            </w:r>
          </w:p>
        </w:tc>
        <w:tc>
          <w:tcPr>
            <w:tcW w:w="1638" w:type="dxa"/>
          </w:tcPr>
          <w:p w:rsidR="00482665" w:rsidRPr="00D628BB" w:rsidRDefault="00482665" w:rsidP="00B03CC0">
            <w:pPr>
              <w:spacing w:line="259" w:lineRule="auto"/>
              <w:jc w:val="right"/>
              <w:cnfStyle w:val="000000100000" w:firstRow="0" w:lastRow="0" w:firstColumn="0" w:lastColumn="0" w:oddVBand="0" w:evenVBand="0" w:oddHBand="1" w:evenHBand="0" w:firstRowFirstColumn="0" w:firstRowLastColumn="0" w:lastRowFirstColumn="0" w:lastRowLastColumn="0"/>
            </w:pPr>
            <w:r>
              <w:t>69</w:t>
            </w:r>
          </w:p>
        </w:tc>
        <w:tc>
          <w:tcPr>
            <w:tcW w:w="2232" w:type="dxa"/>
          </w:tcPr>
          <w:p w:rsidR="00482665" w:rsidRPr="00D628BB" w:rsidRDefault="0093706D" w:rsidP="00B03CC0">
            <w:pPr>
              <w:spacing w:line="259" w:lineRule="auto"/>
              <w:jc w:val="right"/>
              <w:cnfStyle w:val="000000100000" w:firstRow="0" w:lastRow="0" w:firstColumn="0" w:lastColumn="0" w:oddVBand="0" w:evenVBand="0" w:oddHBand="1" w:evenHBand="0" w:firstRowFirstColumn="0" w:firstRowLastColumn="0" w:lastRowFirstColumn="0" w:lastRowLastColumn="0"/>
            </w:pPr>
            <w:r>
              <w:t>3,4</w:t>
            </w:r>
          </w:p>
        </w:tc>
      </w:tr>
      <w:tr w:rsidR="00482665" w:rsidRPr="005B6370" w:rsidTr="00B03CC0">
        <w:trPr>
          <w:cnfStyle w:val="000000010000" w:firstRow="0" w:lastRow="0" w:firstColumn="0" w:lastColumn="0" w:oddVBand="0" w:evenVBand="0" w:oddHBand="0" w:evenHBand="1"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1628" w:type="dxa"/>
          </w:tcPr>
          <w:p w:rsidR="00482665" w:rsidRPr="00D628BB" w:rsidRDefault="00482665" w:rsidP="00B03CC0">
            <w:pPr>
              <w:spacing w:line="259" w:lineRule="auto"/>
              <w:jc w:val="right"/>
            </w:pPr>
            <w:r w:rsidRPr="00D628BB">
              <w:t>2009</w:t>
            </w:r>
            <w:r>
              <w:t>.</w:t>
            </w:r>
          </w:p>
        </w:tc>
        <w:tc>
          <w:tcPr>
            <w:tcW w:w="1777" w:type="dxa"/>
          </w:tcPr>
          <w:p w:rsidR="00482665" w:rsidRPr="0007545D" w:rsidRDefault="00482665" w:rsidP="00482665">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noProof w:val="0"/>
                <w:color w:val="000000"/>
                <w:szCs w:val="22"/>
              </w:rPr>
            </w:pPr>
            <w:r w:rsidRPr="0007545D">
              <w:rPr>
                <w:rFonts w:ascii="Century Gothic" w:hAnsi="Century Gothic"/>
                <w:color w:val="000000"/>
                <w:szCs w:val="22"/>
              </w:rPr>
              <w:t>3627</w:t>
            </w:r>
          </w:p>
        </w:tc>
        <w:tc>
          <w:tcPr>
            <w:tcW w:w="2294" w:type="dxa"/>
          </w:tcPr>
          <w:p w:rsidR="00482665" w:rsidRPr="00D628BB" w:rsidRDefault="00F10858" w:rsidP="00B03CC0">
            <w:pPr>
              <w:spacing w:line="259" w:lineRule="auto"/>
              <w:jc w:val="right"/>
              <w:cnfStyle w:val="000000010000" w:firstRow="0" w:lastRow="0" w:firstColumn="0" w:lastColumn="0" w:oddVBand="0" w:evenVBand="0" w:oddHBand="0" w:evenHBand="1" w:firstRowFirstColumn="0" w:firstRowLastColumn="0" w:lastRowFirstColumn="0" w:lastRowLastColumn="0"/>
            </w:pPr>
            <w:r>
              <w:t>178,5</w:t>
            </w:r>
          </w:p>
        </w:tc>
        <w:tc>
          <w:tcPr>
            <w:tcW w:w="1638" w:type="dxa"/>
          </w:tcPr>
          <w:p w:rsidR="00482665" w:rsidRPr="00D628BB" w:rsidRDefault="00482665" w:rsidP="00B03CC0">
            <w:pPr>
              <w:spacing w:line="259" w:lineRule="auto"/>
              <w:jc w:val="right"/>
              <w:cnfStyle w:val="000000010000" w:firstRow="0" w:lastRow="0" w:firstColumn="0" w:lastColumn="0" w:oddVBand="0" w:evenVBand="0" w:oddHBand="0" w:evenHBand="1" w:firstRowFirstColumn="0" w:firstRowLastColumn="0" w:lastRowFirstColumn="0" w:lastRowLastColumn="0"/>
            </w:pPr>
            <w:r>
              <w:t>65</w:t>
            </w:r>
          </w:p>
        </w:tc>
        <w:tc>
          <w:tcPr>
            <w:tcW w:w="2232" w:type="dxa"/>
          </w:tcPr>
          <w:p w:rsidR="00482665" w:rsidRPr="00D628BB" w:rsidRDefault="00F10858" w:rsidP="00B03CC0">
            <w:pPr>
              <w:spacing w:line="259" w:lineRule="auto"/>
              <w:jc w:val="right"/>
              <w:cnfStyle w:val="000000010000" w:firstRow="0" w:lastRow="0" w:firstColumn="0" w:lastColumn="0" w:oddVBand="0" w:evenVBand="0" w:oddHBand="0" w:evenHBand="1" w:firstRowFirstColumn="0" w:firstRowLastColumn="0" w:lastRowFirstColumn="0" w:lastRowLastColumn="0"/>
            </w:pPr>
            <w:r>
              <w:t>3,2</w:t>
            </w:r>
          </w:p>
        </w:tc>
      </w:tr>
      <w:tr w:rsidR="00482665" w:rsidRPr="005B6370" w:rsidTr="00B03CC0">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1628" w:type="dxa"/>
          </w:tcPr>
          <w:p w:rsidR="00482665" w:rsidRPr="00D628BB" w:rsidRDefault="00482665" w:rsidP="00B03CC0">
            <w:pPr>
              <w:spacing w:line="259" w:lineRule="auto"/>
              <w:jc w:val="right"/>
              <w:rPr>
                <w:color w:val="FFFFFF"/>
              </w:rPr>
            </w:pPr>
            <w:r w:rsidRPr="00D628BB">
              <w:t>2010</w:t>
            </w:r>
            <w:r>
              <w:t>.</w:t>
            </w:r>
          </w:p>
        </w:tc>
        <w:tc>
          <w:tcPr>
            <w:tcW w:w="1777" w:type="dxa"/>
          </w:tcPr>
          <w:p w:rsidR="00482665" w:rsidRPr="0007545D" w:rsidRDefault="00482665" w:rsidP="00482665">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noProof w:val="0"/>
                <w:color w:val="000000"/>
                <w:szCs w:val="22"/>
              </w:rPr>
            </w:pPr>
            <w:r w:rsidRPr="0007545D">
              <w:rPr>
                <w:rFonts w:ascii="Century Gothic" w:hAnsi="Century Gothic"/>
                <w:color w:val="000000"/>
                <w:szCs w:val="22"/>
              </w:rPr>
              <w:t>3175</w:t>
            </w:r>
          </w:p>
        </w:tc>
        <w:tc>
          <w:tcPr>
            <w:tcW w:w="2294" w:type="dxa"/>
          </w:tcPr>
          <w:p w:rsidR="00482665" w:rsidRPr="00D628BB" w:rsidRDefault="00F10858" w:rsidP="00B03CC0">
            <w:pPr>
              <w:spacing w:line="259" w:lineRule="auto"/>
              <w:jc w:val="right"/>
              <w:cnfStyle w:val="000000100000" w:firstRow="0" w:lastRow="0" w:firstColumn="0" w:lastColumn="0" w:oddVBand="0" w:evenVBand="0" w:oddHBand="1" w:evenHBand="0" w:firstRowFirstColumn="0" w:firstRowLastColumn="0" w:lastRowFirstColumn="0" w:lastRowLastColumn="0"/>
            </w:pPr>
            <w:r>
              <w:t>156,2</w:t>
            </w:r>
          </w:p>
        </w:tc>
        <w:tc>
          <w:tcPr>
            <w:tcW w:w="1638" w:type="dxa"/>
          </w:tcPr>
          <w:p w:rsidR="00482665" w:rsidRPr="00D628BB" w:rsidRDefault="00482665" w:rsidP="00B03CC0">
            <w:pPr>
              <w:spacing w:line="259" w:lineRule="auto"/>
              <w:jc w:val="right"/>
              <w:cnfStyle w:val="000000100000" w:firstRow="0" w:lastRow="0" w:firstColumn="0" w:lastColumn="0" w:oddVBand="0" w:evenVBand="0" w:oddHBand="1" w:evenHBand="0" w:firstRowFirstColumn="0" w:firstRowLastColumn="0" w:lastRowFirstColumn="0" w:lastRowLastColumn="0"/>
            </w:pPr>
            <w:r>
              <w:t>94</w:t>
            </w:r>
          </w:p>
        </w:tc>
        <w:tc>
          <w:tcPr>
            <w:tcW w:w="2232" w:type="dxa"/>
          </w:tcPr>
          <w:p w:rsidR="00482665" w:rsidRPr="00D628BB" w:rsidRDefault="00F10858" w:rsidP="00B03CC0">
            <w:pPr>
              <w:spacing w:line="259" w:lineRule="auto"/>
              <w:jc w:val="right"/>
              <w:cnfStyle w:val="000000100000" w:firstRow="0" w:lastRow="0" w:firstColumn="0" w:lastColumn="0" w:oddVBand="0" w:evenVBand="0" w:oddHBand="1" w:evenHBand="0" w:firstRowFirstColumn="0" w:firstRowLastColumn="0" w:lastRowFirstColumn="0" w:lastRowLastColumn="0"/>
            </w:pPr>
            <w:r>
              <w:t>4,6</w:t>
            </w:r>
          </w:p>
        </w:tc>
      </w:tr>
      <w:tr w:rsidR="00482665" w:rsidRPr="005B6370" w:rsidTr="00B03CC0">
        <w:trPr>
          <w:cnfStyle w:val="000000010000" w:firstRow="0" w:lastRow="0" w:firstColumn="0" w:lastColumn="0" w:oddVBand="0" w:evenVBand="0" w:oddHBand="0" w:evenHBand="1"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1628" w:type="dxa"/>
          </w:tcPr>
          <w:p w:rsidR="00482665" w:rsidRPr="005B6370" w:rsidRDefault="00482665" w:rsidP="00B03CC0">
            <w:pPr>
              <w:spacing w:line="259" w:lineRule="auto"/>
              <w:jc w:val="right"/>
            </w:pPr>
            <w:r w:rsidRPr="005B6370">
              <w:t xml:space="preserve">2011. </w:t>
            </w:r>
          </w:p>
        </w:tc>
        <w:tc>
          <w:tcPr>
            <w:tcW w:w="1777" w:type="dxa"/>
          </w:tcPr>
          <w:p w:rsidR="00482665" w:rsidRPr="0007545D" w:rsidRDefault="00482665" w:rsidP="00482665">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noProof w:val="0"/>
                <w:color w:val="000000"/>
                <w:szCs w:val="22"/>
              </w:rPr>
            </w:pPr>
            <w:r w:rsidRPr="0007545D">
              <w:rPr>
                <w:rFonts w:ascii="Century Gothic" w:hAnsi="Century Gothic"/>
                <w:color w:val="000000"/>
                <w:szCs w:val="22"/>
              </w:rPr>
              <w:t>2967</w:t>
            </w:r>
          </w:p>
        </w:tc>
        <w:tc>
          <w:tcPr>
            <w:tcW w:w="2294" w:type="dxa"/>
          </w:tcPr>
          <w:p w:rsidR="00482665" w:rsidRPr="005B6370" w:rsidRDefault="0093706D" w:rsidP="00B03CC0">
            <w:pPr>
              <w:spacing w:line="259" w:lineRule="auto"/>
              <w:ind w:left="1"/>
              <w:jc w:val="right"/>
              <w:cnfStyle w:val="000000010000" w:firstRow="0" w:lastRow="0" w:firstColumn="0" w:lastColumn="0" w:oddVBand="0" w:evenVBand="0" w:oddHBand="0" w:evenHBand="1" w:firstRowFirstColumn="0" w:firstRowLastColumn="0" w:lastRowFirstColumn="0" w:lastRowLastColumn="0"/>
            </w:pPr>
            <w:r>
              <w:t>153,6</w:t>
            </w:r>
          </w:p>
        </w:tc>
        <w:tc>
          <w:tcPr>
            <w:tcW w:w="1638" w:type="dxa"/>
          </w:tcPr>
          <w:p w:rsidR="00482665" w:rsidRPr="005B6370" w:rsidRDefault="00482665" w:rsidP="00B03CC0">
            <w:pPr>
              <w:spacing w:line="259" w:lineRule="auto"/>
              <w:ind w:left="1"/>
              <w:jc w:val="right"/>
              <w:cnfStyle w:val="000000010000" w:firstRow="0" w:lastRow="0" w:firstColumn="0" w:lastColumn="0" w:oddVBand="0" w:evenVBand="0" w:oddHBand="0" w:evenHBand="1" w:firstRowFirstColumn="0" w:firstRowLastColumn="0" w:lastRowFirstColumn="0" w:lastRowLastColumn="0"/>
            </w:pPr>
            <w:r>
              <w:t>112</w:t>
            </w:r>
          </w:p>
        </w:tc>
        <w:tc>
          <w:tcPr>
            <w:tcW w:w="2232" w:type="dxa"/>
          </w:tcPr>
          <w:p w:rsidR="00482665" w:rsidRPr="005B6370" w:rsidRDefault="0093706D" w:rsidP="00B03CC0">
            <w:pPr>
              <w:spacing w:line="259" w:lineRule="auto"/>
              <w:ind w:left="1"/>
              <w:jc w:val="right"/>
              <w:cnfStyle w:val="000000010000" w:firstRow="0" w:lastRow="0" w:firstColumn="0" w:lastColumn="0" w:oddVBand="0" w:evenVBand="0" w:oddHBand="0" w:evenHBand="1" w:firstRowFirstColumn="0" w:firstRowLastColumn="0" w:lastRowFirstColumn="0" w:lastRowLastColumn="0"/>
            </w:pPr>
            <w:r>
              <w:t>5,8</w:t>
            </w:r>
          </w:p>
        </w:tc>
      </w:tr>
      <w:tr w:rsidR="00482665" w:rsidRPr="005B6370" w:rsidTr="00B03CC0">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1628" w:type="dxa"/>
          </w:tcPr>
          <w:p w:rsidR="00482665" w:rsidRPr="005B6370" w:rsidRDefault="00482665" w:rsidP="00B03CC0">
            <w:pPr>
              <w:spacing w:line="259" w:lineRule="auto"/>
              <w:jc w:val="right"/>
            </w:pPr>
            <w:r w:rsidRPr="005B6370">
              <w:t xml:space="preserve">2012. </w:t>
            </w:r>
          </w:p>
        </w:tc>
        <w:tc>
          <w:tcPr>
            <w:tcW w:w="1777" w:type="dxa"/>
          </w:tcPr>
          <w:p w:rsidR="00482665" w:rsidRPr="0007545D" w:rsidRDefault="00482665" w:rsidP="00482665">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noProof w:val="0"/>
                <w:color w:val="000000"/>
                <w:szCs w:val="22"/>
              </w:rPr>
            </w:pPr>
            <w:r w:rsidRPr="0007545D">
              <w:rPr>
                <w:rFonts w:ascii="Century Gothic" w:hAnsi="Century Gothic"/>
                <w:color w:val="000000"/>
                <w:szCs w:val="22"/>
              </w:rPr>
              <w:t>3785</w:t>
            </w:r>
          </w:p>
        </w:tc>
        <w:tc>
          <w:tcPr>
            <w:tcW w:w="2294" w:type="dxa"/>
          </w:tcPr>
          <w:p w:rsidR="00482665" w:rsidRPr="005B6370" w:rsidRDefault="0093706D" w:rsidP="00B03CC0">
            <w:pPr>
              <w:spacing w:line="259" w:lineRule="auto"/>
              <w:ind w:left="1"/>
              <w:jc w:val="right"/>
              <w:cnfStyle w:val="000000100000" w:firstRow="0" w:lastRow="0" w:firstColumn="0" w:lastColumn="0" w:oddVBand="0" w:evenVBand="0" w:oddHBand="1" w:evenHBand="0" w:firstRowFirstColumn="0" w:firstRowLastColumn="0" w:lastRowFirstColumn="0" w:lastRowLastColumn="0"/>
            </w:pPr>
            <w:r>
              <w:t>195,9</w:t>
            </w:r>
          </w:p>
        </w:tc>
        <w:tc>
          <w:tcPr>
            <w:tcW w:w="1638" w:type="dxa"/>
          </w:tcPr>
          <w:p w:rsidR="00482665" w:rsidRPr="005B6370" w:rsidRDefault="00482665" w:rsidP="00B03CC0">
            <w:pPr>
              <w:spacing w:line="259" w:lineRule="auto"/>
              <w:ind w:left="1"/>
              <w:jc w:val="right"/>
              <w:cnfStyle w:val="000000100000" w:firstRow="0" w:lastRow="0" w:firstColumn="0" w:lastColumn="0" w:oddVBand="0" w:evenVBand="0" w:oddHBand="1" w:evenHBand="0" w:firstRowFirstColumn="0" w:firstRowLastColumn="0" w:lastRowFirstColumn="0" w:lastRowLastColumn="0"/>
            </w:pPr>
            <w:r>
              <w:t>99</w:t>
            </w:r>
          </w:p>
        </w:tc>
        <w:tc>
          <w:tcPr>
            <w:tcW w:w="2232" w:type="dxa"/>
          </w:tcPr>
          <w:p w:rsidR="00482665" w:rsidRPr="005B6370" w:rsidRDefault="0093706D" w:rsidP="00B03CC0">
            <w:pPr>
              <w:spacing w:line="259" w:lineRule="auto"/>
              <w:ind w:left="1"/>
              <w:jc w:val="right"/>
              <w:cnfStyle w:val="000000100000" w:firstRow="0" w:lastRow="0" w:firstColumn="0" w:lastColumn="0" w:oddVBand="0" w:evenVBand="0" w:oddHBand="1" w:evenHBand="0" w:firstRowFirstColumn="0" w:firstRowLastColumn="0" w:lastRowFirstColumn="0" w:lastRowLastColumn="0"/>
            </w:pPr>
            <w:r>
              <w:t>5,1</w:t>
            </w:r>
          </w:p>
        </w:tc>
      </w:tr>
      <w:tr w:rsidR="00482665" w:rsidRPr="005B6370" w:rsidTr="00B03CC0">
        <w:trPr>
          <w:cnfStyle w:val="000000010000" w:firstRow="0" w:lastRow="0" w:firstColumn="0" w:lastColumn="0" w:oddVBand="0" w:evenVBand="0" w:oddHBand="0" w:evenHBand="1"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1628" w:type="dxa"/>
          </w:tcPr>
          <w:p w:rsidR="00482665" w:rsidRPr="005B6370" w:rsidRDefault="00482665" w:rsidP="00B03CC0">
            <w:pPr>
              <w:spacing w:line="259" w:lineRule="auto"/>
              <w:jc w:val="right"/>
            </w:pPr>
            <w:r w:rsidRPr="005B6370">
              <w:t>2013.</w:t>
            </w:r>
          </w:p>
        </w:tc>
        <w:tc>
          <w:tcPr>
            <w:tcW w:w="1777" w:type="dxa"/>
          </w:tcPr>
          <w:p w:rsidR="00482665" w:rsidRPr="0007545D" w:rsidRDefault="00482665" w:rsidP="00482665">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noProof w:val="0"/>
                <w:color w:val="000000"/>
                <w:szCs w:val="22"/>
              </w:rPr>
            </w:pPr>
            <w:r w:rsidRPr="0007545D">
              <w:rPr>
                <w:rFonts w:ascii="Century Gothic" w:hAnsi="Century Gothic"/>
                <w:color w:val="000000"/>
                <w:szCs w:val="22"/>
              </w:rPr>
              <w:t>3263</w:t>
            </w:r>
          </w:p>
        </w:tc>
        <w:tc>
          <w:tcPr>
            <w:tcW w:w="2294" w:type="dxa"/>
          </w:tcPr>
          <w:p w:rsidR="00482665" w:rsidRPr="005B6370" w:rsidRDefault="0093706D" w:rsidP="00B03CC0">
            <w:pPr>
              <w:spacing w:line="259" w:lineRule="auto"/>
              <w:ind w:left="1"/>
              <w:jc w:val="right"/>
              <w:cnfStyle w:val="000000010000" w:firstRow="0" w:lastRow="0" w:firstColumn="0" w:lastColumn="0" w:oddVBand="0" w:evenVBand="0" w:oddHBand="0" w:evenHBand="1" w:firstRowFirstColumn="0" w:firstRowLastColumn="0" w:lastRowFirstColumn="0" w:lastRowLastColumn="0"/>
            </w:pPr>
            <w:r>
              <w:t>168,9</w:t>
            </w:r>
          </w:p>
        </w:tc>
        <w:tc>
          <w:tcPr>
            <w:tcW w:w="1638" w:type="dxa"/>
          </w:tcPr>
          <w:p w:rsidR="00482665" w:rsidRPr="005B6370" w:rsidRDefault="00482665" w:rsidP="00B03CC0">
            <w:pPr>
              <w:spacing w:line="259" w:lineRule="auto"/>
              <w:ind w:left="1"/>
              <w:jc w:val="right"/>
              <w:cnfStyle w:val="000000010000" w:firstRow="0" w:lastRow="0" w:firstColumn="0" w:lastColumn="0" w:oddVBand="0" w:evenVBand="0" w:oddHBand="0" w:evenHBand="1" w:firstRowFirstColumn="0" w:firstRowLastColumn="0" w:lastRowFirstColumn="0" w:lastRowLastColumn="0"/>
            </w:pPr>
            <w:r>
              <w:t>67</w:t>
            </w:r>
          </w:p>
        </w:tc>
        <w:tc>
          <w:tcPr>
            <w:tcW w:w="2232" w:type="dxa"/>
          </w:tcPr>
          <w:p w:rsidR="00482665" w:rsidRPr="005B6370" w:rsidRDefault="0093706D" w:rsidP="00B03CC0">
            <w:pPr>
              <w:spacing w:line="259" w:lineRule="auto"/>
              <w:ind w:left="1"/>
              <w:jc w:val="right"/>
              <w:cnfStyle w:val="000000010000" w:firstRow="0" w:lastRow="0" w:firstColumn="0" w:lastColumn="0" w:oddVBand="0" w:evenVBand="0" w:oddHBand="0" w:evenHBand="1" w:firstRowFirstColumn="0" w:firstRowLastColumn="0" w:lastRowFirstColumn="0" w:lastRowLastColumn="0"/>
            </w:pPr>
            <w:r>
              <w:t>3,5</w:t>
            </w:r>
          </w:p>
        </w:tc>
      </w:tr>
      <w:tr w:rsidR="00482665" w:rsidRPr="005B6370" w:rsidTr="00B03CC0">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1628" w:type="dxa"/>
          </w:tcPr>
          <w:p w:rsidR="00482665" w:rsidRPr="003C61E6" w:rsidRDefault="00482665" w:rsidP="00B03CC0">
            <w:pPr>
              <w:spacing w:line="259" w:lineRule="auto"/>
              <w:jc w:val="right"/>
            </w:pPr>
            <w:r>
              <w:t>2014.</w:t>
            </w:r>
          </w:p>
        </w:tc>
        <w:tc>
          <w:tcPr>
            <w:tcW w:w="1777" w:type="dxa"/>
          </w:tcPr>
          <w:p w:rsidR="00482665" w:rsidRPr="0007545D" w:rsidRDefault="00482665" w:rsidP="00482665">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noProof w:val="0"/>
                <w:color w:val="000000"/>
                <w:szCs w:val="22"/>
              </w:rPr>
            </w:pPr>
            <w:r w:rsidRPr="0007545D">
              <w:rPr>
                <w:rFonts w:ascii="Century Gothic" w:hAnsi="Century Gothic"/>
                <w:color w:val="000000"/>
                <w:szCs w:val="22"/>
              </w:rPr>
              <w:t>2847</w:t>
            </w:r>
          </w:p>
        </w:tc>
        <w:tc>
          <w:tcPr>
            <w:tcW w:w="2294" w:type="dxa"/>
          </w:tcPr>
          <w:p w:rsidR="00482665" w:rsidRPr="00142430" w:rsidRDefault="0093706D" w:rsidP="00B03CC0">
            <w:pPr>
              <w:spacing w:line="259" w:lineRule="auto"/>
              <w:ind w:left="1"/>
              <w:jc w:val="right"/>
              <w:cnfStyle w:val="000000100000" w:firstRow="0" w:lastRow="0" w:firstColumn="0" w:lastColumn="0" w:oddVBand="0" w:evenVBand="0" w:oddHBand="1" w:evenHBand="0" w:firstRowFirstColumn="0" w:firstRowLastColumn="0" w:lastRowFirstColumn="0" w:lastRowLastColumn="0"/>
            </w:pPr>
            <w:r>
              <w:t>147,4</w:t>
            </w:r>
          </w:p>
        </w:tc>
        <w:tc>
          <w:tcPr>
            <w:tcW w:w="1638" w:type="dxa"/>
          </w:tcPr>
          <w:p w:rsidR="00482665" w:rsidRPr="00316CA5" w:rsidRDefault="00482665" w:rsidP="00B03CC0">
            <w:pPr>
              <w:spacing w:line="259" w:lineRule="auto"/>
              <w:ind w:left="1"/>
              <w:jc w:val="right"/>
              <w:cnfStyle w:val="000000100000" w:firstRow="0" w:lastRow="0" w:firstColumn="0" w:lastColumn="0" w:oddVBand="0" w:evenVBand="0" w:oddHBand="1" w:evenHBand="0" w:firstRowFirstColumn="0" w:firstRowLastColumn="0" w:lastRowFirstColumn="0" w:lastRowLastColumn="0"/>
            </w:pPr>
            <w:r>
              <w:t>70</w:t>
            </w:r>
          </w:p>
        </w:tc>
        <w:tc>
          <w:tcPr>
            <w:tcW w:w="2232" w:type="dxa"/>
          </w:tcPr>
          <w:p w:rsidR="00482665" w:rsidRPr="005B6370" w:rsidRDefault="0093706D" w:rsidP="00B03CC0">
            <w:pPr>
              <w:spacing w:line="259" w:lineRule="auto"/>
              <w:ind w:left="1"/>
              <w:jc w:val="right"/>
              <w:cnfStyle w:val="000000100000" w:firstRow="0" w:lastRow="0" w:firstColumn="0" w:lastColumn="0" w:oddVBand="0" w:evenVBand="0" w:oddHBand="1" w:evenHBand="0" w:firstRowFirstColumn="0" w:firstRowLastColumn="0" w:lastRowFirstColumn="0" w:lastRowLastColumn="0"/>
            </w:pPr>
            <w:r>
              <w:t>3,6</w:t>
            </w:r>
          </w:p>
        </w:tc>
      </w:tr>
      <w:tr w:rsidR="00482665" w:rsidRPr="005B6370" w:rsidTr="00B03CC0">
        <w:trPr>
          <w:cnfStyle w:val="000000010000" w:firstRow="0" w:lastRow="0" w:firstColumn="0" w:lastColumn="0" w:oddVBand="0" w:evenVBand="0" w:oddHBand="0" w:evenHBand="1"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1628" w:type="dxa"/>
          </w:tcPr>
          <w:p w:rsidR="00482665" w:rsidRPr="004F65F1" w:rsidRDefault="00482665" w:rsidP="00B03CC0">
            <w:pPr>
              <w:spacing w:line="259" w:lineRule="auto"/>
              <w:jc w:val="right"/>
            </w:pPr>
            <w:r>
              <w:t>2015.</w:t>
            </w:r>
          </w:p>
        </w:tc>
        <w:tc>
          <w:tcPr>
            <w:tcW w:w="1777" w:type="dxa"/>
          </w:tcPr>
          <w:p w:rsidR="00482665" w:rsidRPr="0007545D" w:rsidRDefault="00482665" w:rsidP="00482665">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noProof w:val="0"/>
                <w:color w:val="000000"/>
                <w:szCs w:val="22"/>
              </w:rPr>
            </w:pPr>
            <w:r w:rsidRPr="0007545D">
              <w:rPr>
                <w:rFonts w:ascii="Century Gothic" w:hAnsi="Century Gothic"/>
                <w:color w:val="000000"/>
                <w:szCs w:val="22"/>
              </w:rPr>
              <w:t>3808</w:t>
            </w:r>
          </w:p>
        </w:tc>
        <w:tc>
          <w:tcPr>
            <w:tcW w:w="2294" w:type="dxa"/>
          </w:tcPr>
          <w:p w:rsidR="00482665" w:rsidRDefault="0093706D" w:rsidP="00B03CC0">
            <w:pPr>
              <w:spacing w:line="259" w:lineRule="auto"/>
              <w:ind w:left="1"/>
              <w:jc w:val="right"/>
              <w:cnfStyle w:val="000000010000" w:firstRow="0" w:lastRow="0" w:firstColumn="0" w:lastColumn="0" w:oddVBand="0" w:evenVBand="0" w:oddHBand="0" w:evenHBand="1" w:firstRowFirstColumn="0" w:firstRowLastColumn="0" w:lastRowFirstColumn="0" w:lastRowLastColumn="0"/>
            </w:pPr>
            <w:r>
              <w:t>197,1</w:t>
            </w:r>
          </w:p>
        </w:tc>
        <w:tc>
          <w:tcPr>
            <w:tcW w:w="1638" w:type="dxa"/>
          </w:tcPr>
          <w:p w:rsidR="00482665" w:rsidRPr="007C261A" w:rsidRDefault="00482665" w:rsidP="00B03CC0">
            <w:pPr>
              <w:spacing w:line="259" w:lineRule="auto"/>
              <w:ind w:left="1"/>
              <w:jc w:val="right"/>
              <w:cnfStyle w:val="000000010000" w:firstRow="0" w:lastRow="0" w:firstColumn="0" w:lastColumn="0" w:oddVBand="0" w:evenVBand="0" w:oddHBand="0" w:evenHBand="1" w:firstRowFirstColumn="0" w:firstRowLastColumn="0" w:lastRowFirstColumn="0" w:lastRowLastColumn="0"/>
            </w:pPr>
            <w:r>
              <w:t>44</w:t>
            </w:r>
          </w:p>
        </w:tc>
        <w:tc>
          <w:tcPr>
            <w:tcW w:w="2232" w:type="dxa"/>
          </w:tcPr>
          <w:p w:rsidR="00482665" w:rsidRDefault="0093706D" w:rsidP="00B03CC0">
            <w:pPr>
              <w:spacing w:line="259" w:lineRule="auto"/>
              <w:ind w:left="1"/>
              <w:jc w:val="right"/>
              <w:cnfStyle w:val="000000010000" w:firstRow="0" w:lastRow="0" w:firstColumn="0" w:lastColumn="0" w:oddVBand="0" w:evenVBand="0" w:oddHBand="0" w:evenHBand="1" w:firstRowFirstColumn="0" w:firstRowLastColumn="0" w:lastRowFirstColumn="0" w:lastRowLastColumn="0"/>
            </w:pPr>
            <w:r>
              <w:t>2,3</w:t>
            </w:r>
          </w:p>
        </w:tc>
      </w:tr>
      <w:tr w:rsidR="00482665" w:rsidRPr="005B6370" w:rsidTr="00B03CC0">
        <w:trPr>
          <w:cnfStyle w:val="000000100000" w:firstRow="0" w:lastRow="0" w:firstColumn="0" w:lastColumn="0" w:oddVBand="0" w:evenVBand="0" w:oddHBand="1" w:evenHBand="0"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1628" w:type="dxa"/>
          </w:tcPr>
          <w:p w:rsidR="00482665" w:rsidRDefault="00482665" w:rsidP="00B03CC0">
            <w:pPr>
              <w:spacing w:line="259" w:lineRule="auto"/>
              <w:jc w:val="right"/>
            </w:pPr>
            <w:r>
              <w:t>2016.</w:t>
            </w:r>
          </w:p>
        </w:tc>
        <w:tc>
          <w:tcPr>
            <w:tcW w:w="1777" w:type="dxa"/>
          </w:tcPr>
          <w:p w:rsidR="00482665" w:rsidRPr="0007545D" w:rsidRDefault="00482665" w:rsidP="00482665">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noProof w:val="0"/>
                <w:color w:val="000000"/>
                <w:szCs w:val="22"/>
              </w:rPr>
            </w:pPr>
            <w:r w:rsidRPr="0007545D">
              <w:rPr>
                <w:rFonts w:ascii="Century Gothic" w:hAnsi="Century Gothic"/>
                <w:color w:val="000000"/>
                <w:szCs w:val="22"/>
              </w:rPr>
              <w:t>3263</w:t>
            </w:r>
          </w:p>
        </w:tc>
        <w:tc>
          <w:tcPr>
            <w:tcW w:w="2294" w:type="dxa"/>
          </w:tcPr>
          <w:p w:rsidR="00482665" w:rsidRPr="002B0045" w:rsidRDefault="0093706D" w:rsidP="00B03CC0">
            <w:pPr>
              <w:spacing w:line="259" w:lineRule="auto"/>
              <w:ind w:left="1"/>
              <w:jc w:val="right"/>
              <w:cnfStyle w:val="000000100000" w:firstRow="0" w:lastRow="0" w:firstColumn="0" w:lastColumn="0" w:oddVBand="0" w:evenVBand="0" w:oddHBand="1" w:evenHBand="0" w:firstRowFirstColumn="0" w:firstRowLastColumn="0" w:lastRowFirstColumn="0" w:lastRowLastColumn="0"/>
            </w:pPr>
            <w:r>
              <w:t>168,9</w:t>
            </w:r>
          </w:p>
        </w:tc>
        <w:tc>
          <w:tcPr>
            <w:tcW w:w="1638" w:type="dxa"/>
          </w:tcPr>
          <w:p w:rsidR="00482665" w:rsidRPr="009A519D" w:rsidRDefault="00482665" w:rsidP="00B03CC0">
            <w:pPr>
              <w:spacing w:line="259" w:lineRule="auto"/>
              <w:ind w:left="1"/>
              <w:jc w:val="right"/>
              <w:cnfStyle w:val="000000100000" w:firstRow="0" w:lastRow="0" w:firstColumn="0" w:lastColumn="0" w:oddVBand="0" w:evenVBand="0" w:oddHBand="1" w:evenHBand="0" w:firstRowFirstColumn="0" w:firstRowLastColumn="0" w:lastRowFirstColumn="0" w:lastRowLastColumn="0"/>
            </w:pPr>
            <w:r>
              <w:t>36</w:t>
            </w:r>
          </w:p>
        </w:tc>
        <w:tc>
          <w:tcPr>
            <w:tcW w:w="2232" w:type="dxa"/>
          </w:tcPr>
          <w:p w:rsidR="00482665" w:rsidRDefault="0093706D" w:rsidP="00B03CC0">
            <w:pPr>
              <w:spacing w:line="259" w:lineRule="auto"/>
              <w:ind w:left="1"/>
              <w:jc w:val="right"/>
              <w:cnfStyle w:val="000000100000" w:firstRow="0" w:lastRow="0" w:firstColumn="0" w:lastColumn="0" w:oddVBand="0" w:evenVBand="0" w:oddHBand="1" w:evenHBand="0" w:firstRowFirstColumn="0" w:firstRowLastColumn="0" w:lastRowFirstColumn="0" w:lastRowLastColumn="0"/>
            </w:pPr>
            <w:r>
              <w:t>1,9</w:t>
            </w:r>
          </w:p>
        </w:tc>
      </w:tr>
      <w:tr w:rsidR="00482665" w:rsidRPr="005B6370" w:rsidTr="00B03CC0">
        <w:trPr>
          <w:cnfStyle w:val="000000010000" w:firstRow="0" w:lastRow="0" w:firstColumn="0" w:lastColumn="0" w:oddVBand="0" w:evenVBand="0" w:oddHBand="0" w:evenHBand="1" w:firstRowFirstColumn="0" w:firstRowLastColumn="0" w:lastRowFirstColumn="0" w:lastRowLastColumn="0"/>
          <w:trHeight w:val="290"/>
          <w:jc w:val="center"/>
        </w:trPr>
        <w:tc>
          <w:tcPr>
            <w:cnfStyle w:val="001000000000" w:firstRow="0" w:lastRow="0" w:firstColumn="1" w:lastColumn="0" w:oddVBand="0" w:evenVBand="0" w:oddHBand="0" w:evenHBand="0" w:firstRowFirstColumn="0" w:firstRowLastColumn="0" w:lastRowFirstColumn="0" w:lastRowLastColumn="0"/>
            <w:tcW w:w="1628" w:type="dxa"/>
          </w:tcPr>
          <w:p w:rsidR="00482665" w:rsidRPr="00981361" w:rsidRDefault="00482665" w:rsidP="00B03CC0">
            <w:pPr>
              <w:spacing w:line="259" w:lineRule="auto"/>
              <w:jc w:val="right"/>
              <w:rPr>
                <w:b/>
                <w:color w:val="auto"/>
                <w:lang w:val="sr-Cyrl-RS"/>
              </w:rPr>
            </w:pPr>
            <w:r w:rsidRPr="00981361">
              <w:rPr>
                <w:b/>
                <w:color w:val="auto"/>
                <w:lang w:val="sr-Cyrl-RS"/>
              </w:rPr>
              <w:t>2017.</w:t>
            </w:r>
          </w:p>
        </w:tc>
        <w:tc>
          <w:tcPr>
            <w:tcW w:w="1777" w:type="dxa"/>
          </w:tcPr>
          <w:p w:rsidR="00482665" w:rsidRPr="0007545D" w:rsidRDefault="00482665" w:rsidP="00482665">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b/>
                <w:noProof w:val="0"/>
                <w:color w:val="auto"/>
                <w:szCs w:val="22"/>
              </w:rPr>
            </w:pPr>
            <w:r w:rsidRPr="0007545D">
              <w:rPr>
                <w:rFonts w:ascii="Century Gothic" w:hAnsi="Century Gothic"/>
                <w:b/>
                <w:color w:val="auto"/>
                <w:szCs w:val="22"/>
              </w:rPr>
              <w:t>2334</w:t>
            </w:r>
          </w:p>
        </w:tc>
        <w:tc>
          <w:tcPr>
            <w:tcW w:w="2294" w:type="dxa"/>
          </w:tcPr>
          <w:p w:rsidR="00482665" w:rsidRPr="00981361" w:rsidRDefault="0093706D" w:rsidP="00B03CC0">
            <w:pPr>
              <w:spacing w:line="259" w:lineRule="auto"/>
              <w:ind w:left="1"/>
              <w:jc w:val="right"/>
              <w:cnfStyle w:val="000000010000" w:firstRow="0" w:lastRow="0" w:firstColumn="0" w:lastColumn="0" w:oddVBand="0" w:evenVBand="0" w:oddHBand="0" w:evenHBand="1" w:firstRowFirstColumn="0" w:firstRowLastColumn="0" w:lastRowFirstColumn="0" w:lastRowLastColumn="0"/>
              <w:rPr>
                <w:b/>
                <w:color w:val="auto"/>
              </w:rPr>
            </w:pPr>
            <w:r w:rsidRPr="00981361">
              <w:rPr>
                <w:b/>
                <w:color w:val="auto"/>
              </w:rPr>
              <w:t>120,8</w:t>
            </w:r>
          </w:p>
        </w:tc>
        <w:tc>
          <w:tcPr>
            <w:tcW w:w="1638" w:type="dxa"/>
          </w:tcPr>
          <w:p w:rsidR="00482665" w:rsidRPr="00981361" w:rsidRDefault="00482665" w:rsidP="00B03CC0">
            <w:pPr>
              <w:spacing w:line="259" w:lineRule="auto"/>
              <w:ind w:left="1"/>
              <w:jc w:val="right"/>
              <w:cnfStyle w:val="000000010000" w:firstRow="0" w:lastRow="0" w:firstColumn="0" w:lastColumn="0" w:oddVBand="0" w:evenVBand="0" w:oddHBand="0" w:evenHBand="1" w:firstRowFirstColumn="0" w:firstRowLastColumn="0" w:lastRowFirstColumn="0" w:lastRowLastColumn="0"/>
              <w:rPr>
                <w:b/>
                <w:color w:val="auto"/>
              </w:rPr>
            </w:pPr>
            <w:r w:rsidRPr="00981361">
              <w:rPr>
                <w:b/>
                <w:color w:val="auto"/>
              </w:rPr>
              <w:t>27</w:t>
            </w:r>
          </w:p>
        </w:tc>
        <w:tc>
          <w:tcPr>
            <w:tcW w:w="2232" w:type="dxa"/>
          </w:tcPr>
          <w:p w:rsidR="00482665" w:rsidRPr="00981361" w:rsidRDefault="0093706D" w:rsidP="00B03CC0">
            <w:pPr>
              <w:spacing w:line="259" w:lineRule="auto"/>
              <w:ind w:left="1"/>
              <w:jc w:val="right"/>
              <w:cnfStyle w:val="000000010000" w:firstRow="0" w:lastRow="0" w:firstColumn="0" w:lastColumn="0" w:oddVBand="0" w:evenVBand="0" w:oddHBand="0" w:evenHBand="1" w:firstRowFirstColumn="0" w:firstRowLastColumn="0" w:lastRowFirstColumn="0" w:lastRowLastColumn="0"/>
              <w:rPr>
                <w:b/>
                <w:color w:val="auto"/>
              </w:rPr>
            </w:pPr>
            <w:r w:rsidRPr="00981361">
              <w:rPr>
                <w:b/>
                <w:color w:val="auto"/>
              </w:rPr>
              <w:t>1,4</w:t>
            </w:r>
          </w:p>
        </w:tc>
      </w:tr>
    </w:tbl>
    <w:p w:rsidR="00482665" w:rsidRPr="005B6370" w:rsidRDefault="00482665" w:rsidP="00960F01">
      <w:pPr>
        <w:spacing w:after="0" w:line="259" w:lineRule="auto"/>
        <w:jc w:val="left"/>
      </w:pPr>
    </w:p>
    <w:p w:rsidR="007A15E2" w:rsidRDefault="00D977AF" w:rsidP="00960F01">
      <w:pPr>
        <w:rPr>
          <w:lang w:val="sr-Cyrl-RS"/>
        </w:rPr>
      </w:pPr>
      <w:r>
        <w:rPr>
          <w:lang w:val="sr-Cyrl-RS"/>
        </w:rPr>
        <w:t>Специфични морталитет од заразних болести у протеклих 10 година има типичну дистрибуцију. Најмлађа и најстарија животна доб су у највећем ризику од смртног исхода од заразних болести у односу на остале узрасне групе (табела 2)</w:t>
      </w:r>
    </w:p>
    <w:p w:rsidR="00073649" w:rsidRPr="00D977AF" w:rsidRDefault="00073649" w:rsidP="00960F01">
      <w:pPr>
        <w:rPr>
          <w:lang w:val="sr-Cyrl-RS"/>
        </w:rPr>
      </w:pPr>
    </w:p>
    <w:p w:rsidR="00335953" w:rsidRPr="005B6370" w:rsidRDefault="00335953" w:rsidP="001C1C63">
      <w:pPr>
        <w:pStyle w:val="Caption"/>
        <w:spacing w:after="160"/>
      </w:pPr>
      <w:r w:rsidRPr="005B6370">
        <w:lastRenderedPageBreak/>
        <w:t>Табела</w:t>
      </w:r>
      <w:r w:rsidR="004F09E2">
        <w:t xml:space="preserve"> </w:t>
      </w:r>
      <w:r w:rsidR="00D977AF">
        <w:rPr>
          <w:lang w:val="sr-Cyrl-RS"/>
        </w:rPr>
        <w:t>2</w:t>
      </w:r>
      <w:r w:rsidRPr="005B6370">
        <w:t xml:space="preserve">. </w:t>
      </w:r>
      <w:r w:rsidR="007A44AE">
        <w:t>Заразне болести са смртним исходом по добним групама</w:t>
      </w:r>
      <w:r w:rsidRPr="005B6370">
        <w:t xml:space="preserve"> </w:t>
      </w:r>
      <w:r w:rsidR="005F1FEF">
        <w:t>у АП Војводини у периоду од 200</w:t>
      </w:r>
      <w:r w:rsidR="004F13ED">
        <w:t>8</w:t>
      </w:r>
      <w:r w:rsidR="005F1FEF">
        <w:t>. до 201</w:t>
      </w:r>
      <w:r w:rsidR="004F13ED">
        <w:t>7</w:t>
      </w:r>
      <w:r w:rsidRPr="005B6370">
        <w:t>.</w:t>
      </w:r>
      <w:r w:rsidR="00952634">
        <w:rPr>
          <w:lang w:val="sr-Cyrl-CS"/>
        </w:rPr>
        <w:t xml:space="preserve"> </w:t>
      </w:r>
      <w:r w:rsidRPr="005B6370">
        <w:t>године</w:t>
      </w:r>
    </w:p>
    <w:tbl>
      <w:tblPr>
        <w:tblStyle w:val="PlainTable51"/>
        <w:tblW w:w="9497" w:type="dxa"/>
        <w:jc w:val="center"/>
        <w:tblLook w:val="04A0" w:firstRow="1" w:lastRow="0" w:firstColumn="1" w:lastColumn="0" w:noHBand="0" w:noVBand="1"/>
      </w:tblPr>
      <w:tblGrid>
        <w:gridCol w:w="873"/>
        <w:gridCol w:w="1438"/>
        <w:gridCol w:w="1437"/>
        <w:gridCol w:w="1437"/>
        <w:gridCol w:w="1437"/>
        <w:gridCol w:w="1437"/>
        <w:gridCol w:w="1438"/>
      </w:tblGrid>
      <w:tr w:rsidR="00335953" w:rsidRPr="001C7AFA" w:rsidTr="004F13ED">
        <w:trPr>
          <w:cnfStyle w:val="100000000000" w:firstRow="1" w:lastRow="0" w:firstColumn="0" w:lastColumn="0" w:oddVBand="0" w:evenVBand="0" w:oddHBand="0" w:evenHBand="0" w:firstRowFirstColumn="0" w:firstRowLastColumn="0" w:lastRowFirstColumn="0" w:lastRowLastColumn="0"/>
          <w:trHeight w:val="328"/>
          <w:jc w:val="center"/>
        </w:trPr>
        <w:tc>
          <w:tcPr>
            <w:cnfStyle w:val="001000000100" w:firstRow="0" w:lastRow="0" w:firstColumn="1" w:lastColumn="0" w:oddVBand="0" w:evenVBand="0" w:oddHBand="0" w:evenHBand="0" w:firstRowFirstColumn="1" w:firstRowLastColumn="0" w:lastRowFirstColumn="0" w:lastRowLastColumn="0"/>
            <w:tcW w:w="873" w:type="dxa"/>
            <w:vMerge w:val="restart"/>
            <w:tcBorders>
              <w:right w:val="single" w:sz="4" w:space="0" w:color="FFFFFF" w:themeColor="background1"/>
            </w:tcBorders>
          </w:tcPr>
          <w:p w:rsidR="00335953" w:rsidRPr="001C7AFA" w:rsidRDefault="00335953" w:rsidP="00343695">
            <w:pPr>
              <w:spacing w:line="259" w:lineRule="auto"/>
              <w:ind w:right="9"/>
              <w:jc w:val="right"/>
              <w:rPr>
                <w:sz w:val="18"/>
              </w:rPr>
            </w:pPr>
            <w:r w:rsidRPr="001C7AFA">
              <w:rPr>
                <w:color w:val="FFFFFF"/>
                <w:sz w:val="18"/>
              </w:rPr>
              <w:t xml:space="preserve">Година </w:t>
            </w:r>
          </w:p>
        </w:tc>
        <w:tc>
          <w:tcPr>
            <w:tcW w:w="8624" w:type="dxa"/>
            <w:gridSpan w:val="6"/>
            <w:tcBorders>
              <w:left w:val="single" w:sz="4" w:space="0" w:color="FFFFFF" w:themeColor="background1"/>
            </w:tcBorders>
          </w:tcPr>
          <w:p w:rsidR="00335953" w:rsidRPr="007A4A9A" w:rsidRDefault="00335953" w:rsidP="007A44AE">
            <w:pPr>
              <w:spacing w:line="259" w:lineRule="auto"/>
              <w:ind w:left="790" w:right="791" w:hanging="324"/>
              <w:jc w:val="center"/>
              <w:cnfStyle w:val="100000000000" w:firstRow="1" w:lastRow="0" w:firstColumn="0" w:lastColumn="0" w:oddVBand="0" w:evenVBand="0" w:oddHBand="0" w:evenHBand="0" w:firstRowFirstColumn="0" w:firstRowLastColumn="0" w:lastRowFirstColumn="0" w:lastRowLastColumn="0"/>
              <w:rPr>
                <w:color w:val="FFFFFF"/>
                <w:sz w:val="18"/>
              </w:rPr>
            </w:pPr>
            <w:r w:rsidRPr="001C7AFA">
              <w:rPr>
                <w:color w:val="FFFFFF"/>
                <w:sz w:val="18"/>
              </w:rPr>
              <w:t>Д о б н е</w:t>
            </w:r>
            <w:r w:rsidR="004F09E2">
              <w:rPr>
                <w:color w:val="FFFFFF"/>
                <w:sz w:val="18"/>
              </w:rPr>
              <w:t xml:space="preserve"> </w:t>
            </w:r>
            <w:r w:rsidRPr="001C7AFA">
              <w:rPr>
                <w:color w:val="FFFFFF"/>
                <w:sz w:val="18"/>
              </w:rPr>
              <w:t xml:space="preserve">г р у п е / број умрлих особа (специфични морталитет на 100000) </w:t>
            </w:r>
          </w:p>
        </w:tc>
      </w:tr>
      <w:tr w:rsidR="00335953" w:rsidRPr="005B6370" w:rsidTr="004F13ED">
        <w:trPr>
          <w:cnfStyle w:val="000000100000" w:firstRow="0" w:lastRow="0" w:firstColumn="0" w:lastColumn="0" w:oddVBand="0" w:evenVBand="0" w:oddHBand="1" w:evenHBand="0" w:firstRowFirstColumn="0" w:firstRowLastColumn="0" w:lastRowFirstColumn="0" w:lastRowLastColumn="0"/>
          <w:trHeight w:val="272"/>
          <w:jc w:val="center"/>
        </w:trPr>
        <w:tc>
          <w:tcPr>
            <w:cnfStyle w:val="001000000000" w:firstRow="0" w:lastRow="0" w:firstColumn="1" w:lastColumn="0" w:oddVBand="0" w:evenVBand="0" w:oddHBand="0" w:evenHBand="0" w:firstRowFirstColumn="0" w:firstRowLastColumn="0" w:lastRowFirstColumn="0" w:lastRowLastColumn="0"/>
            <w:tcW w:w="873" w:type="dxa"/>
            <w:vMerge/>
            <w:tcBorders>
              <w:right w:val="single" w:sz="4" w:space="0" w:color="FFFFFF" w:themeColor="background1"/>
            </w:tcBorders>
            <w:shd w:val="clear" w:color="auto" w:fill="3494BA" w:themeFill="accent1"/>
          </w:tcPr>
          <w:p w:rsidR="00335953" w:rsidRPr="005B6370" w:rsidRDefault="00335953" w:rsidP="00343695">
            <w:pPr>
              <w:spacing w:after="160" w:line="259" w:lineRule="auto"/>
              <w:jc w:val="right"/>
              <w:rPr>
                <w:b/>
              </w:rPr>
            </w:pPr>
          </w:p>
        </w:tc>
        <w:tc>
          <w:tcPr>
            <w:tcW w:w="1438" w:type="dxa"/>
            <w:tcBorders>
              <w:left w:val="single" w:sz="4" w:space="0" w:color="FFFFFF" w:themeColor="background1"/>
            </w:tcBorders>
            <w:shd w:val="clear" w:color="auto" w:fill="3494BA" w:themeFill="accent1"/>
          </w:tcPr>
          <w:p w:rsidR="00335953" w:rsidRPr="001C7AFA" w:rsidRDefault="00335953" w:rsidP="00CE4288">
            <w:pPr>
              <w:spacing w:line="259" w:lineRule="auto"/>
              <w:jc w:val="right"/>
              <w:cnfStyle w:val="000000100000" w:firstRow="0" w:lastRow="0" w:firstColumn="0" w:lastColumn="0" w:oddVBand="0" w:evenVBand="0" w:oddHBand="1" w:evenHBand="0" w:firstRowFirstColumn="0" w:firstRowLastColumn="0" w:lastRowFirstColumn="0" w:lastRowLastColumn="0"/>
              <w:rPr>
                <w:b/>
                <w:sz w:val="18"/>
              </w:rPr>
            </w:pPr>
            <w:r w:rsidRPr="001C7AFA">
              <w:rPr>
                <w:b/>
                <w:color w:val="F2F2F2"/>
                <w:sz w:val="18"/>
              </w:rPr>
              <w:t xml:space="preserve">0 </w:t>
            </w:r>
          </w:p>
        </w:tc>
        <w:tc>
          <w:tcPr>
            <w:tcW w:w="1437" w:type="dxa"/>
            <w:shd w:val="clear" w:color="auto" w:fill="3494BA" w:themeFill="accent1"/>
          </w:tcPr>
          <w:p w:rsidR="00335953" w:rsidRPr="001C7AFA" w:rsidRDefault="00335953" w:rsidP="00CE4288">
            <w:pPr>
              <w:spacing w:line="259" w:lineRule="auto"/>
              <w:ind w:right="5"/>
              <w:jc w:val="right"/>
              <w:cnfStyle w:val="000000100000" w:firstRow="0" w:lastRow="0" w:firstColumn="0" w:lastColumn="0" w:oddVBand="0" w:evenVBand="0" w:oddHBand="1" w:evenHBand="0" w:firstRowFirstColumn="0" w:firstRowLastColumn="0" w:lastRowFirstColumn="0" w:lastRowLastColumn="0"/>
              <w:rPr>
                <w:b/>
                <w:sz w:val="18"/>
              </w:rPr>
            </w:pPr>
            <w:r w:rsidRPr="001C7AFA">
              <w:rPr>
                <w:b/>
                <w:color w:val="F2F2F2"/>
                <w:sz w:val="18"/>
              </w:rPr>
              <w:t xml:space="preserve">1 – 6 </w:t>
            </w:r>
          </w:p>
        </w:tc>
        <w:tc>
          <w:tcPr>
            <w:tcW w:w="1437" w:type="dxa"/>
            <w:shd w:val="clear" w:color="auto" w:fill="3494BA" w:themeFill="accent1"/>
          </w:tcPr>
          <w:p w:rsidR="00335953" w:rsidRPr="001C7AFA" w:rsidRDefault="00335953" w:rsidP="00CE4288">
            <w:pPr>
              <w:spacing w:line="259" w:lineRule="auto"/>
              <w:ind w:right="3"/>
              <w:jc w:val="right"/>
              <w:cnfStyle w:val="000000100000" w:firstRow="0" w:lastRow="0" w:firstColumn="0" w:lastColumn="0" w:oddVBand="0" w:evenVBand="0" w:oddHBand="1" w:evenHBand="0" w:firstRowFirstColumn="0" w:firstRowLastColumn="0" w:lastRowFirstColumn="0" w:lastRowLastColumn="0"/>
              <w:rPr>
                <w:b/>
                <w:sz w:val="18"/>
              </w:rPr>
            </w:pPr>
            <w:r w:rsidRPr="001C7AFA">
              <w:rPr>
                <w:b/>
                <w:color w:val="F2F2F2"/>
                <w:sz w:val="18"/>
              </w:rPr>
              <w:t xml:space="preserve">7 </w:t>
            </w:r>
            <w:r w:rsidR="00250C27">
              <w:rPr>
                <w:b/>
                <w:color w:val="F2F2F2"/>
                <w:sz w:val="18"/>
              </w:rPr>
              <w:t>–</w:t>
            </w:r>
            <w:r w:rsidRPr="001C7AFA">
              <w:rPr>
                <w:b/>
                <w:color w:val="F2F2F2"/>
                <w:sz w:val="18"/>
              </w:rPr>
              <w:t xml:space="preserve"> 14 </w:t>
            </w:r>
          </w:p>
        </w:tc>
        <w:tc>
          <w:tcPr>
            <w:tcW w:w="1437" w:type="dxa"/>
            <w:shd w:val="clear" w:color="auto" w:fill="3494BA" w:themeFill="accent1"/>
          </w:tcPr>
          <w:p w:rsidR="00335953" w:rsidRPr="001C7AFA" w:rsidRDefault="00335953" w:rsidP="00CE4288">
            <w:pPr>
              <w:spacing w:line="259" w:lineRule="auto"/>
              <w:ind w:right="2"/>
              <w:jc w:val="right"/>
              <w:cnfStyle w:val="000000100000" w:firstRow="0" w:lastRow="0" w:firstColumn="0" w:lastColumn="0" w:oddVBand="0" w:evenVBand="0" w:oddHBand="1" w:evenHBand="0" w:firstRowFirstColumn="0" w:firstRowLastColumn="0" w:lastRowFirstColumn="0" w:lastRowLastColumn="0"/>
              <w:rPr>
                <w:b/>
                <w:sz w:val="18"/>
              </w:rPr>
            </w:pPr>
            <w:r w:rsidRPr="001C7AFA">
              <w:rPr>
                <w:b/>
                <w:color w:val="F2F2F2"/>
                <w:sz w:val="18"/>
              </w:rPr>
              <w:t xml:space="preserve">15 – 19 </w:t>
            </w:r>
          </w:p>
        </w:tc>
        <w:tc>
          <w:tcPr>
            <w:tcW w:w="1437" w:type="dxa"/>
            <w:shd w:val="clear" w:color="auto" w:fill="3494BA" w:themeFill="accent1"/>
          </w:tcPr>
          <w:p w:rsidR="00335953" w:rsidRPr="001C7AFA" w:rsidRDefault="00335953" w:rsidP="00CE4288">
            <w:pPr>
              <w:spacing w:line="259" w:lineRule="auto"/>
              <w:ind w:right="2"/>
              <w:jc w:val="right"/>
              <w:cnfStyle w:val="000000100000" w:firstRow="0" w:lastRow="0" w:firstColumn="0" w:lastColumn="0" w:oddVBand="0" w:evenVBand="0" w:oddHBand="1" w:evenHBand="0" w:firstRowFirstColumn="0" w:firstRowLastColumn="0" w:lastRowFirstColumn="0" w:lastRowLastColumn="0"/>
              <w:rPr>
                <w:b/>
                <w:sz w:val="18"/>
              </w:rPr>
            </w:pPr>
            <w:r w:rsidRPr="001C7AFA">
              <w:rPr>
                <w:b/>
                <w:color w:val="F2F2F2"/>
                <w:sz w:val="18"/>
              </w:rPr>
              <w:t xml:space="preserve">20 – 59 </w:t>
            </w:r>
          </w:p>
        </w:tc>
        <w:tc>
          <w:tcPr>
            <w:tcW w:w="1438" w:type="dxa"/>
            <w:shd w:val="clear" w:color="auto" w:fill="3494BA" w:themeFill="accent1"/>
          </w:tcPr>
          <w:p w:rsidR="00335953" w:rsidRPr="001C7AFA" w:rsidRDefault="00335953" w:rsidP="00CE4288">
            <w:pPr>
              <w:spacing w:line="259" w:lineRule="auto"/>
              <w:ind w:right="1"/>
              <w:jc w:val="right"/>
              <w:cnfStyle w:val="000000100000" w:firstRow="0" w:lastRow="0" w:firstColumn="0" w:lastColumn="0" w:oddVBand="0" w:evenVBand="0" w:oddHBand="1" w:evenHBand="0" w:firstRowFirstColumn="0" w:firstRowLastColumn="0" w:lastRowFirstColumn="0" w:lastRowLastColumn="0"/>
              <w:rPr>
                <w:b/>
                <w:sz w:val="18"/>
              </w:rPr>
            </w:pPr>
            <w:r w:rsidRPr="001C7AFA">
              <w:rPr>
                <w:b/>
                <w:color w:val="F2F2F2"/>
                <w:sz w:val="18"/>
              </w:rPr>
              <w:t xml:space="preserve">60+ </w:t>
            </w:r>
          </w:p>
        </w:tc>
      </w:tr>
      <w:tr w:rsidR="00DB3AF7" w:rsidRPr="005B6370" w:rsidTr="004F13ED">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873" w:type="dxa"/>
          </w:tcPr>
          <w:p w:rsidR="00DB3AF7" w:rsidRPr="005B6370" w:rsidRDefault="00DB3AF7" w:rsidP="00DB3AF7">
            <w:pPr>
              <w:spacing w:line="259" w:lineRule="auto"/>
              <w:ind w:right="9"/>
              <w:jc w:val="right"/>
            </w:pPr>
            <w:r w:rsidRPr="005B6370">
              <w:t xml:space="preserve">2008. </w:t>
            </w:r>
          </w:p>
        </w:tc>
        <w:tc>
          <w:tcPr>
            <w:tcW w:w="1438" w:type="dxa"/>
          </w:tcPr>
          <w:p w:rsidR="00DB3AF7" w:rsidRPr="005B6370" w:rsidRDefault="00DB3AF7" w:rsidP="00DB3AF7">
            <w:pPr>
              <w:spacing w:line="259" w:lineRule="auto"/>
              <w:ind w:left="1"/>
              <w:jc w:val="right"/>
              <w:cnfStyle w:val="000000010000" w:firstRow="0" w:lastRow="0" w:firstColumn="0" w:lastColumn="0" w:oddVBand="0" w:evenVBand="0" w:oddHBand="0" w:evenHBand="1" w:firstRowFirstColumn="0" w:firstRowLastColumn="0" w:lastRowFirstColumn="0" w:lastRowLastColumn="0"/>
            </w:pPr>
            <w:r w:rsidRPr="005B6370">
              <w:t xml:space="preserve">3(17,2) </w:t>
            </w:r>
          </w:p>
        </w:tc>
        <w:tc>
          <w:tcPr>
            <w:tcW w:w="1437" w:type="dxa"/>
          </w:tcPr>
          <w:p w:rsidR="00DB3AF7" w:rsidRPr="005B6370" w:rsidRDefault="00DB3AF7" w:rsidP="00DB3AF7">
            <w:pPr>
              <w:spacing w:line="259" w:lineRule="auto"/>
              <w:ind w:right="1"/>
              <w:jc w:val="right"/>
              <w:cnfStyle w:val="000000010000" w:firstRow="0" w:lastRow="0" w:firstColumn="0" w:lastColumn="0" w:oddVBand="0" w:evenVBand="0" w:oddHBand="0" w:evenHBand="1" w:firstRowFirstColumn="0" w:firstRowLastColumn="0" w:lastRowFirstColumn="0" w:lastRowLastColumn="0"/>
            </w:pPr>
            <w:r w:rsidRPr="005B6370">
              <w:t xml:space="preserve">2(1,7) </w:t>
            </w:r>
          </w:p>
        </w:tc>
        <w:tc>
          <w:tcPr>
            <w:tcW w:w="1437" w:type="dxa"/>
          </w:tcPr>
          <w:p w:rsidR="00DB3AF7" w:rsidRPr="005B6370" w:rsidRDefault="00DB3AF7" w:rsidP="00DB3AF7">
            <w:pPr>
              <w:spacing w:line="259" w:lineRule="auto"/>
              <w:ind w:left="1"/>
              <w:jc w:val="right"/>
              <w:cnfStyle w:val="000000010000" w:firstRow="0" w:lastRow="0" w:firstColumn="0" w:lastColumn="0" w:oddVBand="0" w:evenVBand="0" w:oddHBand="0" w:evenHBand="1" w:firstRowFirstColumn="0" w:firstRowLastColumn="0" w:lastRowFirstColumn="0" w:lastRowLastColumn="0"/>
            </w:pPr>
            <w:r w:rsidRPr="005B6370">
              <w:t xml:space="preserve">0(0,0) </w:t>
            </w:r>
          </w:p>
        </w:tc>
        <w:tc>
          <w:tcPr>
            <w:tcW w:w="1437" w:type="dxa"/>
          </w:tcPr>
          <w:p w:rsidR="00DB3AF7" w:rsidRPr="005B6370" w:rsidRDefault="00DB3AF7" w:rsidP="00DB3AF7">
            <w:pPr>
              <w:spacing w:line="259" w:lineRule="auto"/>
              <w:ind w:left="1"/>
              <w:jc w:val="right"/>
              <w:cnfStyle w:val="000000010000" w:firstRow="0" w:lastRow="0" w:firstColumn="0" w:lastColumn="0" w:oddVBand="0" w:evenVBand="0" w:oddHBand="0" w:evenHBand="1" w:firstRowFirstColumn="0" w:firstRowLastColumn="0" w:lastRowFirstColumn="0" w:lastRowLastColumn="0"/>
            </w:pPr>
            <w:r w:rsidRPr="005B6370">
              <w:t xml:space="preserve">0(0,0) </w:t>
            </w:r>
          </w:p>
        </w:tc>
        <w:tc>
          <w:tcPr>
            <w:tcW w:w="1437" w:type="dxa"/>
          </w:tcPr>
          <w:p w:rsidR="00DB3AF7" w:rsidRPr="005B6370" w:rsidRDefault="00DB3AF7" w:rsidP="00DB3AF7">
            <w:pPr>
              <w:spacing w:line="259" w:lineRule="auto"/>
              <w:ind w:left="1"/>
              <w:jc w:val="right"/>
              <w:cnfStyle w:val="000000010000" w:firstRow="0" w:lastRow="0" w:firstColumn="0" w:lastColumn="0" w:oddVBand="0" w:evenVBand="0" w:oddHBand="0" w:evenHBand="1" w:firstRowFirstColumn="0" w:firstRowLastColumn="0" w:lastRowFirstColumn="0" w:lastRowLastColumn="0"/>
            </w:pPr>
            <w:r w:rsidRPr="005B6370">
              <w:t xml:space="preserve">28(2,5) </w:t>
            </w:r>
          </w:p>
        </w:tc>
        <w:tc>
          <w:tcPr>
            <w:tcW w:w="1438" w:type="dxa"/>
          </w:tcPr>
          <w:p w:rsidR="00DB3AF7" w:rsidRPr="005B6370" w:rsidRDefault="00DB3AF7" w:rsidP="00DB3AF7">
            <w:pPr>
              <w:spacing w:line="259" w:lineRule="auto"/>
              <w:ind w:left="1"/>
              <w:jc w:val="right"/>
              <w:cnfStyle w:val="000000010000" w:firstRow="0" w:lastRow="0" w:firstColumn="0" w:lastColumn="0" w:oddVBand="0" w:evenVBand="0" w:oddHBand="0" w:evenHBand="1" w:firstRowFirstColumn="0" w:firstRowLastColumn="0" w:lastRowFirstColumn="0" w:lastRowLastColumn="0"/>
            </w:pPr>
            <w:r w:rsidRPr="005B6370">
              <w:t xml:space="preserve">37(8,3) </w:t>
            </w:r>
          </w:p>
        </w:tc>
      </w:tr>
      <w:tr w:rsidR="00DB3AF7" w:rsidRPr="005B6370" w:rsidTr="004F13ED">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873" w:type="dxa"/>
          </w:tcPr>
          <w:p w:rsidR="00DB3AF7" w:rsidRPr="005B6370" w:rsidRDefault="00DB3AF7" w:rsidP="00DB3AF7">
            <w:pPr>
              <w:spacing w:line="259" w:lineRule="auto"/>
              <w:ind w:right="9"/>
              <w:jc w:val="right"/>
            </w:pPr>
            <w:r w:rsidRPr="005B6370">
              <w:t xml:space="preserve">2009. </w:t>
            </w:r>
          </w:p>
        </w:tc>
        <w:tc>
          <w:tcPr>
            <w:tcW w:w="1438" w:type="dxa"/>
          </w:tcPr>
          <w:p w:rsidR="00DB3AF7" w:rsidRPr="005B6370" w:rsidRDefault="00DB3AF7" w:rsidP="00DB3AF7">
            <w:pPr>
              <w:spacing w:line="259" w:lineRule="auto"/>
              <w:ind w:right="2"/>
              <w:jc w:val="right"/>
              <w:cnfStyle w:val="000000100000" w:firstRow="0" w:lastRow="0" w:firstColumn="0" w:lastColumn="0" w:oddVBand="0" w:evenVBand="0" w:oddHBand="1" w:evenHBand="0" w:firstRowFirstColumn="0" w:firstRowLastColumn="0" w:lastRowFirstColumn="0" w:lastRowLastColumn="0"/>
            </w:pPr>
            <w:r w:rsidRPr="005B6370">
              <w:t xml:space="preserve">11(63,1) </w:t>
            </w:r>
          </w:p>
        </w:tc>
        <w:tc>
          <w:tcPr>
            <w:tcW w:w="1437" w:type="dxa"/>
          </w:tcPr>
          <w:p w:rsidR="00DB3AF7" w:rsidRPr="005B6370" w:rsidRDefault="00DB3AF7" w:rsidP="00DB3AF7">
            <w:pPr>
              <w:spacing w:line="259" w:lineRule="auto"/>
              <w:ind w:right="1"/>
              <w:jc w:val="right"/>
              <w:cnfStyle w:val="000000100000" w:firstRow="0" w:lastRow="0" w:firstColumn="0" w:lastColumn="0" w:oddVBand="0" w:evenVBand="0" w:oddHBand="1" w:evenHBand="0" w:firstRowFirstColumn="0" w:firstRowLastColumn="0" w:lastRowFirstColumn="0" w:lastRowLastColumn="0"/>
            </w:pPr>
            <w:r w:rsidRPr="005B6370">
              <w:t xml:space="preserve">1(0,8) </w:t>
            </w:r>
          </w:p>
        </w:tc>
        <w:tc>
          <w:tcPr>
            <w:tcW w:w="1437" w:type="dxa"/>
          </w:tcPr>
          <w:p w:rsidR="00DB3AF7" w:rsidRPr="005B6370" w:rsidRDefault="00DB3AF7" w:rsidP="00DB3AF7">
            <w:pPr>
              <w:spacing w:line="259" w:lineRule="auto"/>
              <w:ind w:left="1"/>
              <w:jc w:val="right"/>
              <w:cnfStyle w:val="000000100000" w:firstRow="0" w:lastRow="0" w:firstColumn="0" w:lastColumn="0" w:oddVBand="0" w:evenVBand="0" w:oddHBand="1" w:evenHBand="0" w:firstRowFirstColumn="0" w:firstRowLastColumn="0" w:lastRowFirstColumn="0" w:lastRowLastColumn="0"/>
            </w:pPr>
            <w:r w:rsidRPr="005B6370">
              <w:t xml:space="preserve">2(1,1) </w:t>
            </w:r>
          </w:p>
        </w:tc>
        <w:tc>
          <w:tcPr>
            <w:tcW w:w="1437" w:type="dxa"/>
          </w:tcPr>
          <w:p w:rsidR="00DB3AF7" w:rsidRPr="005B6370" w:rsidRDefault="00DB3AF7" w:rsidP="00DB3AF7">
            <w:pPr>
              <w:spacing w:line="259" w:lineRule="auto"/>
              <w:ind w:left="1"/>
              <w:jc w:val="right"/>
              <w:cnfStyle w:val="000000100000" w:firstRow="0" w:lastRow="0" w:firstColumn="0" w:lastColumn="0" w:oddVBand="0" w:evenVBand="0" w:oddHBand="1" w:evenHBand="0" w:firstRowFirstColumn="0" w:firstRowLastColumn="0" w:lastRowFirstColumn="0" w:lastRowLastColumn="0"/>
            </w:pPr>
            <w:r w:rsidRPr="005B6370">
              <w:t xml:space="preserve">0(0,0) </w:t>
            </w:r>
          </w:p>
        </w:tc>
        <w:tc>
          <w:tcPr>
            <w:tcW w:w="1437" w:type="dxa"/>
          </w:tcPr>
          <w:p w:rsidR="00DB3AF7" w:rsidRPr="005B6370" w:rsidRDefault="00DB3AF7" w:rsidP="00DB3AF7">
            <w:pPr>
              <w:spacing w:line="259" w:lineRule="auto"/>
              <w:ind w:left="1"/>
              <w:jc w:val="right"/>
              <w:cnfStyle w:val="000000100000" w:firstRow="0" w:lastRow="0" w:firstColumn="0" w:lastColumn="0" w:oddVBand="0" w:evenVBand="0" w:oddHBand="1" w:evenHBand="0" w:firstRowFirstColumn="0" w:firstRowLastColumn="0" w:lastRowFirstColumn="0" w:lastRowLastColumn="0"/>
            </w:pPr>
            <w:r w:rsidRPr="005B6370">
              <w:t xml:space="preserve">34(3,0) </w:t>
            </w:r>
          </w:p>
        </w:tc>
        <w:tc>
          <w:tcPr>
            <w:tcW w:w="1438" w:type="dxa"/>
          </w:tcPr>
          <w:p w:rsidR="00DB3AF7" w:rsidRPr="005B6370" w:rsidRDefault="00DB3AF7" w:rsidP="00DB3AF7">
            <w:pPr>
              <w:spacing w:line="259" w:lineRule="auto"/>
              <w:ind w:left="1"/>
              <w:jc w:val="right"/>
              <w:cnfStyle w:val="000000100000" w:firstRow="0" w:lastRow="0" w:firstColumn="0" w:lastColumn="0" w:oddVBand="0" w:evenVBand="0" w:oddHBand="1" w:evenHBand="0" w:firstRowFirstColumn="0" w:firstRowLastColumn="0" w:lastRowFirstColumn="0" w:lastRowLastColumn="0"/>
            </w:pPr>
            <w:r w:rsidRPr="005B6370">
              <w:t xml:space="preserve">38(8,5) </w:t>
            </w:r>
          </w:p>
        </w:tc>
      </w:tr>
      <w:tr w:rsidR="00DB3AF7" w:rsidRPr="005B6370" w:rsidTr="004F13ED">
        <w:trPr>
          <w:cnfStyle w:val="000000010000" w:firstRow="0" w:lastRow="0" w:firstColumn="0" w:lastColumn="0" w:oddVBand="0" w:evenVBand="0" w:oddHBand="0" w:evenHBand="1"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873" w:type="dxa"/>
          </w:tcPr>
          <w:p w:rsidR="00DB3AF7" w:rsidRPr="005B6370" w:rsidRDefault="00DB3AF7" w:rsidP="00DB3AF7">
            <w:pPr>
              <w:spacing w:line="259" w:lineRule="auto"/>
              <w:ind w:right="9"/>
              <w:jc w:val="right"/>
            </w:pPr>
            <w:r w:rsidRPr="005B6370">
              <w:t xml:space="preserve">2010. </w:t>
            </w:r>
          </w:p>
        </w:tc>
        <w:tc>
          <w:tcPr>
            <w:tcW w:w="1438" w:type="dxa"/>
          </w:tcPr>
          <w:p w:rsidR="00DB3AF7" w:rsidRPr="005B6370" w:rsidRDefault="00DB3AF7" w:rsidP="00DB3AF7">
            <w:pPr>
              <w:spacing w:line="259" w:lineRule="auto"/>
              <w:ind w:left="1"/>
              <w:jc w:val="right"/>
              <w:cnfStyle w:val="000000010000" w:firstRow="0" w:lastRow="0" w:firstColumn="0" w:lastColumn="0" w:oddVBand="0" w:evenVBand="0" w:oddHBand="0" w:evenHBand="1" w:firstRowFirstColumn="0" w:firstRowLastColumn="0" w:lastRowFirstColumn="0" w:lastRowLastColumn="0"/>
            </w:pPr>
            <w:r w:rsidRPr="005B6370">
              <w:t xml:space="preserve">5(28,7) </w:t>
            </w:r>
          </w:p>
        </w:tc>
        <w:tc>
          <w:tcPr>
            <w:tcW w:w="1437" w:type="dxa"/>
          </w:tcPr>
          <w:p w:rsidR="00DB3AF7" w:rsidRPr="005B6370" w:rsidRDefault="00DB3AF7" w:rsidP="00DB3AF7">
            <w:pPr>
              <w:spacing w:line="259" w:lineRule="auto"/>
              <w:ind w:right="1"/>
              <w:jc w:val="right"/>
              <w:cnfStyle w:val="000000010000" w:firstRow="0" w:lastRow="0" w:firstColumn="0" w:lastColumn="0" w:oddVBand="0" w:evenVBand="0" w:oddHBand="0" w:evenHBand="1" w:firstRowFirstColumn="0" w:firstRowLastColumn="0" w:lastRowFirstColumn="0" w:lastRowLastColumn="0"/>
            </w:pPr>
            <w:r w:rsidRPr="005B6370">
              <w:t xml:space="preserve">1(0,8) </w:t>
            </w:r>
          </w:p>
        </w:tc>
        <w:tc>
          <w:tcPr>
            <w:tcW w:w="1437" w:type="dxa"/>
          </w:tcPr>
          <w:p w:rsidR="00DB3AF7" w:rsidRPr="005B6370" w:rsidRDefault="00DB3AF7" w:rsidP="00DB3AF7">
            <w:pPr>
              <w:spacing w:line="259" w:lineRule="auto"/>
              <w:ind w:left="1"/>
              <w:jc w:val="right"/>
              <w:cnfStyle w:val="000000010000" w:firstRow="0" w:lastRow="0" w:firstColumn="0" w:lastColumn="0" w:oddVBand="0" w:evenVBand="0" w:oddHBand="0" w:evenHBand="1" w:firstRowFirstColumn="0" w:firstRowLastColumn="0" w:lastRowFirstColumn="0" w:lastRowLastColumn="0"/>
            </w:pPr>
            <w:r w:rsidRPr="005B6370">
              <w:t xml:space="preserve">3(1,6) </w:t>
            </w:r>
          </w:p>
        </w:tc>
        <w:tc>
          <w:tcPr>
            <w:tcW w:w="1437" w:type="dxa"/>
          </w:tcPr>
          <w:p w:rsidR="00DB3AF7" w:rsidRPr="005B6370" w:rsidRDefault="00DB3AF7" w:rsidP="00DB3AF7">
            <w:pPr>
              <w:spacing w:line="259" w:lineRule="auto"/>
              <w:ind w:left="1"/>
              <w:jc w:val="right"/>
              <w:cnfStyle w:val="000000010000" w:firstRow="0" w:lastRow="0" w:firstColumn="0" w:lastColumn="0" w:oddVBand="0" w:evenVBand="0" w:oddHBand="0" w:evenHBand="1" w:firstRowFirstColumn="0" w:firstRowLastColumn="0" w:lastRowFirstColumn="0" w:lastRowLastColumn="0"/>
            </w:pPr>
            <w:r w:rsidRPr="005B6370">
              <w:t xml:space="preserve">3(2,2) </w:t>
            </w:r>
          </w:p>
        </w:tc>
        <w:tc>
          <w:tcPr>
            <w:tcW w:w="1437" w:type="dxa"/>
          </w:tcPr>
          <w:p w:rsidR="00DB3AF7" w:rsidRPr="005B6370" w:rsidRDefault="00DB3AF7" w:rsidP="00DB3AF7">
            <w:pPr>
              <w:spacing w:line="259" w:lineRule="auto"/>
              <w:ind w:left="1"/>
              <w:jc w:val="right"/>
              <w:cnfStyle w:val="000000010000" w:firstRow="0" w:lastRow="0" w:firstColumn="0" w:lastColumn="0" w:oddVBand="0" w:evenVBand="0" w:oddHBand="0" w:evenHBand="1" w:firstRowFirstColumn="0" w:firstRowLastColumn="0" w:lastRowFirstColumn="0" w:lastRowLastColumn="0"/>
            </w:pPr>
            <w:r w:rsidRPr="005B6370">
              <w:t xml:space="preserve">36(3,2) </w:t>
            </w:r>
          </w:p>
        </w:tc>
        <w:tc>
          <w:tcPr>
            <w:tcW w:w="1438" w:type="dxa"/>
          </w:tcPr>
          <w:p w:rsidR="00DB3AF7" w:rsidRPr="005B6370" w:rsidRDefault="00DB3AF7" w:rsidP="00DB3AF7">
            <w:pPr>
              <w:spacing w:line="259" w:lineRule="auto"/>
              <w:ind w:right="2"/>
              <w:jc w:val="right"/>
              <w:cnfStyle w:val="000000010000" w:firstRow="0" w:lastRow="0" w:firstColumn="0" w:lastColumn="0" w:oddVBand="0" w:evenVBand="0" w:oddHBand="0" w:evenHBand="1" w:firstRowFirstColumn="0" w:firstRowLastColumn="0" w:lastRowFirstColumn="0" w:lastRowLastColumn="0"/>
            </w:pPr>
            <w:r w:rsidRPr="005B6370">
              <w:t xml:space="preserve">49(11,0) </w:t>
            </w:r>
          </w:p>
        </w:tc>
      </w:tr>
      <w:tr w:rsidR="00DB3AF7" w:rsidRPr="005B6370" w:rsidTr="004F13ED">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873" w:type="dxa"/>
          </w:tcPr>
          <w:p w:rsidR="00DB3AF7" w:rsidRPr="005B6370" w:rsidRDefault="00DB3AF7" w:rsidP="00DB3AF7">
            <w:pPr>
              <w:spacing w:line="259" w:lineRule="auto"/>
              <w:ind w:right="9"/>
              <w:jc w:val="right"/>
            </w:pPr>
            <w:r w:rsidRPr="005B6370">
              <w:t xml:space="preserve">2011. </w:t>
            </w:r>
          </w:p>
        </w:tc>
        <w:tc>
          <w:tcPr>
            <w:tcW w:w="1438" w:type="dxa"/>
          </w:tcPr>
          <w:p w:rsidR="00DB3AF7" w:rsidRPr="005B6370" w:rsidRDefault="00DB3AF7" w:rsidP="00DB3AF7">
            <w:pPr>
              <w:spacing w:line="259" w:lineRule="auto"/>
              <w:jc w:val="right"/>
              <w:cnfStyle w:val="000000100000" w:firstRow="0" w:lastRow="0" w:firstColumn="0" w:lastColumn="0" w:oddVBand="0" w:evenVBand="0" w:oddHBand="1" w:evenHBand="0" w:firstRowFirstColumn="0" w:firstRowLastColumn="0" w:lastRowFirstColumn="0" w:lastRowLastColumn="0"/>
            </w:pPr>
            <w:r w:rsidRPr="005B6370">
              <w:t xml:space="preserve">11(63,1) </w:t>
            </w:r>
          </w:p>
        </w:tc>
        <w:tc>
          <w:tcPr>
            <w:tcW w:w="1437" w:type="dxa"/>
          </w:tcPr>
          <w:p w:rsidR="00DB3AF7" w:rsidRPr="005B6370" w:rsidRDefault="00DB3AF7" w:rsidP="00DB3AF7">
            <w:pPr>
              <w:spacing w:line="259" w:lineRule="auto"/>
              <w:jc w:val="right"/>
              <w:cnfStyle w:val="000000100000" w:firstRow="0" w:lastRow="0" w:firstColumn="0" w:lastColumn="0" w:oddVBand="0" w:evenVBand="0" w:oddHBand="1" w:evenHBand="0" w:firstRowFirstColumn="0" w:firstRowLastColumn="0" w:lastRowFirstColumn="0" w:lastRowLastColumn="0"/>
            </w:pPr>
            <w:r w:rsidRPr="005B6370">
              <w:t xml:space="preserve">4(3,4) </w:t>
            </w:r>
          </w:p>
        </w:tc>
        <w:tc>
          <w:tcPr>
            <w:tcW w:w="1437" w:type="dxa"/>
          </w:tcPr>
          <w:p w:rsidR="00DB3AF7" w:rsidRPr="005B6370" w:rsidRDefault="00DB3AF7" w:rsidP="00DB3AF7">
            <w:pPr>
              <w:spacing w:line="259" w:lineRule="auto"/>
              <w:ind w:left="2"/>
              <w:jc w:val="right"/>
              <w:cnfStyle w:val="000000100000" w:firstRow="0" w:lastRow="0" w:firstColumn="0" w:lastColumn="0" w:oddVBand="0" w:evenVBand="0" w:oddHBand="1" w:evenHBand="0" w:firstRowFirstColumn="0" w:firstRowLastColumn="0" w:lastRowFirstColumn="0" w:lastRowLastColumn="0"/>
            </w:pPr>
            <w:r w:rsidRPr="005B6370">
              <w:t xml:space="preserve">0(0,0) </w:t>
            </w:r>
          </w:p>
        </w:tc>
        <w:tc>
          <w:tcPr>
            <w:tcW w:w="1437" w:type="dxa"/>
          </w:tcPr>
          <w:p w:rsidR="00DB3AF7" w:rsidRPr="005B6370" w:rsidRDefault="00DB3AF7" w:rsidP="00DB3AF7">
            <w:pPr>
              <w:spacing w:line="259" w:lineRule="auto"/>
              <w:ind w:left="2"/>
              <w:jc w:val="right"/>
              <w:cnfStyle w:val="000000100000" w:firstRow="0" w:lastRow="0" w:firstColumn="0" w:lastColumn="0" w:oddVBand="0" w:evenVBand="0" w:oddHBand="1" w:evenHBand="0" w:firstRowFirstColumn="0" w:firstRowLastColumn="0" w:lastRowFirstColumn="0" w:lastRowLastColumn="0"/>
            </w:pPr>
            <w:r w:rsidRPr="005B6370">
              <w:t xml:space="preserve">1(0,7) </w:t>
            </w:r>
          </w:p>
        </w:tc>
        <w:tc>
          <w:tcPr>
            <w:tcW w:w="1437" w:type="dxa"/>
          </w:tcPr>
          <w:p w:rsidR="00DB3AF7" w:rsidRPr="005B6370" w:rsidRDefault="00DB3AF7" w:rsidP="00DB3AF7">
            <w:pPr>
              <w:spacing w:line="259" w:lineRule="auto"/>
              <w:ind w:left="2"/>
              <w:jc w:val="right"/>
              <w:cnfStyle w:val="000000100000" w:firstRow="0" w:lastRow="0" w:firstColumn="0" w:lastColumn="0" w:oddVBand="0" w:evenVBand="0" w:oddHBand="1" w:evenHBand="0" w:firstRowFirstColumn="0" w:firstRowLastColumn="0" w:lastRowFirstColumn="0" w:lastRowLastColumn="0"/>
            </w:pPr>
            <w:r w:rsidRPr="005B6370">
              <w:t xml:space="preserve">35(3,1) </w:t>
            </w:r>
          </w:p>
        </w:tc>
        <w:tc>
          <w:tcPr>
            <w:tcW w:w="1438" w:type="dxa"/>
          </w:tcPr>
          <w:p w:rsidR="00DB3AF7" w:rsidRPr="005B6370" w:rsidRDefault="00DB3AF7" w:rsidP="00DB3AF7">
            <w:pPr>
              <w:spacing w:line="259" w:lineRule="auto"/>
              <w:jc w:val="right"/>
              <w:cnfStyle w:val="000000100000" w:firstRow="0" w:lastRow="0" w:firstColumn="0" w:lastColumn="0" w:oddVBand="0" w:evenVBand="0" w:oddHBand="1" w:evenHBand="0" w:firstRowFirstColumn="0" w:firstRowLastColumn="0" w:lastRowFirstColumn="0" w:lastRowLastColumn="0"/>
            </w:pPr>
            <w:r w:rsidRPr="005B6370">
              <w:t xml:space="preserve">72(16,2) </w:t>
            </w:r>
          </w:p>
        </w:tc>
      </w:tr>
      <w:tr w:rsidR="00DB3AF7" w:rsidRPr="005B6370" w:rsidTr="004F13ED">
        <w:trPr>
          <w:cnfStyle w:val="000000010000" w:firstRow="0" w:lastRow="0" w:firstColumn="0" w:lastColumn="0" w:oddVBand="0" w:evenVBand="0" w:oddHBand="0" w:evenHBand="1"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873" w:type="dxa"/>
          </w:tcPr>
          <w:p w:rsidR="00DB3AF7" w:rsidRPr="005B6370" w:rsidRDefault="00DB3AF7" w:rsidP="00DB3AF7">
            <w:pPr>
              <w:spacing w:line="259" w:lineRule="auto"/>
              <w:ind w:right="9"/>
              <w:jc w:val="right"/>
            </w:pPr>
            <w:r w:rsidRPr="005B6370">
              <w:t xml:space="preserve">2012. </w:t>
            </w:r>
          </w:p>
        </w:tc>
        <w:tc>
          <w:tcPr>
            <w:tcW w:w="1438" w:type="dxa"/>
          </w:tcPr>
          <w:p w:rsidR="00DB3AF7" w:rsidRPr="005B6370" w:rsidRDefault="00DB3AF7" w:rsidP="00DB3AF7">
            <w:pPr>
              <w:spacing w:line="259" w:lineRule="auto"/>
              <w:ind w:right="2"/>
              <w:jc w:val="right"/>
              <w:cnfStyle w:val="000000010000" w:firstRow="0" w:lastRow="0" w:firstColumn="0" w:lastColumn="0" w:oddVBand="0" w:evenVBand="0" w:oddHBand="0" w:evenHBand="1" w:firstRowFirstColumn="0" w:firstRowLastColumn="0" w:lastRowFirstColumn="0" w:lastRowLastColumn="0"/>
            </w:pPr>
            <w:r w:rsidRPr="005B6370">
              <w:t xml:space="preserve">18(104,0) </w:t>
            </w:r>
          </w:p>
        </w:tc>
        <w:tc>
          <w:tcPr>
            <w:tcW w:w="1437" w:type="dxa"/>
          </w:tcPr>
          <w:p w:rsidR="00DB3AF7" w:rsidRPr="005B6370" w:rsidRDefault="00DB3AF7" w:rsidP="00DB3AF7">
            <w:pPr>
              <w:spacing w:line="259" w:lineRule="auto"/>
              <w:ind w:right="1"/>
              <w:jc w:val="right"/>
              <w:cnfStyle w:val="000000010000" w:firstRow="0" w:lastRow="0" w:firstColumn="0" w:lastColumn="0" w:oddVBand="0" w:evenVBand="0" w:oddHBand="0" w:evenHBand="1" w:firstRowFirstColumn="0" w:firstRowLastColumn="0" w:lastRowFirstColumn="0" w:lastRowLastColumn="0"/>
            </w:pPr>
            <w:r w:rsidRPr="005B6370">
              <w:t xml:space="preserve">2(1,8) </w:t>
            </w:r>
          </w:p>
        </w:tc>
        <w:tc>
          <w:tcPr>
            <w:tcW w:w="1437" w:type="dxa"/>
          </w:tcPr>
          <w:p w:rsidR="00DB3AF7" w:rsidRPr="005B6370" w:rsidRDefault="00DB3AF7" w:rsidP="00DB3AF7">
            <w:pPr>
              <w:spacing w:line="259" w:lineRule="auto"/>
              <w:ind w:left="1"/>
              <w:jc w:val="right"/>
              <w:cnfStyle w:val="000000010000" w:firstRow="0" w:lastRow="0" w:firstColumn="0" w:lastColumn="0" w:oddVBand="0" w:evenVBand="0" w:oddHBand="0" w:evenHBand="1" w:firstRowFirstColumn="0" w:firstRowLastColumn="0" w:lastRowFirstColumn="0" w:lastRowLastColumn="0"/>
            </w:pPr>
            <w:r w:rsidRPr="005B6370">
              <w:t xml:space="preserve">2(1,3) </w:t>
            </w:r>
          </w:p>
        </w:tc>
        <w:tc>
          <w:tcPr>
            <w:tcW w:w="1437" w:type="dxa"/>
          </w:tcPr>
          <w:p w:rsidR="00DB3AF7" w:rsidRPr="005B6370" w:rsidRDefault="00DB3AF7" w:rsidP="00DB3AF7">
            <w:pPr>
              <w:spacing w:line="259" w:lineRule="auto"/>
              <w:ind w:left="1"/>
              <w:jc w:val="right"/>
              <w:cnfStyle w:val="000000010000" w:firstRow="0" w:lastRow="0" w:firstColumn="0" w:lastColumn="0" w:oddVBand="0" w:evenVBand="0" w:oddHBand="0" w:evenHBand="1" w:firstRowFirstColumn="0" w:firstRowLastColumn="0" w:lastRowFirstColumn="0" w:lastRowLastColumn="0"/>
            </w:pPr>
            <w:r w:rsidRPr="005B6370">
              <w:t xml:space="preserve">1(0,9) </w:t>
            </w:r>
          </w:p>
        </w:tc>
        <w:tc>
          <w:tcPr>
            <w:tcW w:w="1437" w:type="dxa"/>
          </w:tcPr>
          <w:p w:rsidR="00DB3AF7" w:rsidRPr="005B6370" w:rsidRDefault="00DB3AF7" w:rsidP="00DB3AF7">
            <w:pPr>
              <w:spacing w:line="259" w:lineRule="auto"/>
              <w:ind w:left="1"/>
              <w:jc w:val="right"/>
              <w:cnfStyle w:val="000000010000" w:firstRow="0" w:lastRow="0" w:firstColumn="0" w:lastColumn="0" w:oddVBand="0" w:evenVBand="0" w:oddHBand="0" w:evenHBand="1" w:firstRowFirstColumn="0" w:firstRowLastColumn="0" w:lastRowFirstColumn="0" w:lastRowLastColumn="0"/>
            </w:pPr>
            <w:r w:rsidRPr="005B6370">
              <w:t xml:space="preserve">22(2,0) </w:t>
            </w:r>
          </w:p>
        </w:tc>
        <w:tc>
          <w:tcPr>
            <w:tcW w:w="1438" w:type="dxa"/>
          </w:tcPr>
          <w:p w:rsidR="00DB3AF7" w:rsidRPr="005B6370" w:rsidRDefault="00DB3AF7" w:rsidP="00DB3AF7">
            <w:pPr>
              <w:spacing w:line="259" w:lineRule="auto"/>
              <w:ind w:right="2"/>
              <w:jc w:val="right"/>
              <w:cnfStyle w:val="000000010000" w:firstRow="0" w:lastRow="0" w:firstColumn="0" w:lastColumn="0" w:oddVBand="0" w:evenVBand="0" w:oddHBand="0" w:evenHBand="1" w:firstRowFirstColumn="0" w:firstRowLastColumn="0" w:lastRowFirstColumn="0" w:lastRowLastColumn="0"/>
            </w:pPr>
            <w:r w:rsidRPr="005B6370">
              <w:t xml:space="preserve">55(12,0) </w:t>
            </w:r>
          </w:p>
        </w:tc>
      </w:tr>
      <w:tr w:rsidR="00DB3AF7" w:rsidRPr="005B6370" w:rsidTr="004F13ED">
        <w:trPr>
          <w:cnfStyle w:val="000000100000" w:firstRow="0" w:lastRow="0" w:firstColumn="0" w:lastColumn="0" w:oddVBand="0" w:evenVBand="0" w:oddHBand="1" w:evenHBand="0" w:firstRowFirstColumn="0" w:firstRowLastColumn="0" w:lastRowFirstColumn="0" w:lastRowLastColumn="0"/>
          <w:trHeight w:val="278"/>
          <w:jc w:val="center"/>
        </w:trPr>
        <w:tc>
          <w:tcPr>
            <w:cnfStyle w:val="001000000000" w:firstRow="0" w:lastRow="0" w:firstColumn="1" w:lastColumn="0" w:oddVBand="0" w:evenVBand="0" w:oddHBand="0" w:evenHBand="0" w:firstRowFirstColumn="0" w:firstRowLastColumn="0" w:lastRowFirstColumn="0" w:lastRowLastColumn="0"/>
            <w:tcW w:w="873" w:type="dxa"/>
          </w:tcPr>
          <w:p w:rsidR="00DB3AF7" w:rsidRPr="005F1FEF" w:rsidRDefault="00DB3AF7" w:rsidP="00DB3AF7">
            <w:pPr>
              <w:spacing w:line="259" w:lineRule="auto"/>
              <w:ind w:right="9"/>
              <w:jc w:val="right"/>
              <w:rPr>
                <w:szCs w:val="20"/>
              </w:rPr>
            </w:pPr>
            <w:r w:rsidRPr="005F1FEF">
              <w:rPr>
                <w:szCs w:val="20"/>
              </w:rPr>
              <w:t>2013.</w:t>
            </w:r>
          </w:p>
        </w:tc>
        <w:tc>
          <w:tcPr>
            <w:tcW w:w="1438" w:type="dxa"/>
          </w:tcPr>
          <w:p w:rsidR="00DB3AF7" w:rsidRPr="005F1FEF" w:rsidRDefault="00DB3AF7" w:rsidP="00DB3AF7">
            <w:pPr>
              <w:spacing w:line="259" w:lineRule="auto"/>
              <w:ind w:right="2"/>
              <w:jc w:val="right"/>
              <w:cnfStyle w:val="000000100000" w:firstRow="0" w:lastRow="0" w:firstColumn="0" w:lastColumn="0" w:oddVBand="0" w:evenVBand="0" w:oddHBand="1" w:evenHBand="0" w:firstRowFirstColumn="0" w:firstRowLastColumn="0" w:lastRowFirstColumn="0" w:lastRowLastColumn="0"/>
            </w:pPr>
            <w:r w:rsidRPr="005F1FEF">
              <w:t>5(28,9)</w:t>
            </w:r>
          </w:p>
        </w:tc>
        <w:tc>
          <w:tcPr>
            <w:tcW w:w="1437" w:type="dxa"/>
          </w:tcPr>
          <w:p w:rsidR="00DB3AF7" w:rsidRPr="005F1FEF" w:rsidRDefault="00DB3AF7" w:rsidP="00DB3AF7">
            <w:pPr>
              <w:spacing w:line="259" w:lineRule="auto"/>
              <w:ind w:right="1"/>
              <w:jc w:val="right"/>
              <w:cnfStyle w:val="000000100000" w:firstRow="0" w:lastRow="0" w:firstColumn="0" w:lastColumn="0" w:oddVBand="0" w:evenVBand="0" w:oddHBand="1" w:evenHBand="0" w:firstRowFirstColumn="0" w:firstRowLastColumn="0" w:lastRowFirstColumn="0" w:lastRowLastColumn="0"/>
            </w:pPr>
            <w:r w:rsidRPr="005F1FEF">
              <w:t>1(0,9)</w:t>
            </w:r>
          </w:p>
        </w:tc>
        <w:tc>
          <w:tcPr>
            <w:tcW w:w="1437" w:type="dxa"/>
          </w:tcPr>
          <w:p w:rsidR="00DB3AF7" w:rsidRPr="005F1FEF" w:rsidRDefault="00DB3AF7" w:rsidP="00DB3AF7">
            <w:pPr>
              <w:spacing w:line="259" w:lineRule="auto"/>
              <w:ind w:left="1"/>
              <w:jc w:val="right"/>
              <w:cnfStyle w:val="000000100000" w:firstRow="0" w:lastRow="0" w:firstColumn="0" w:lastColumn="0" w:oddVBand="0" w:evenVBand="0" w:oddHBand="1" w:evenHBand="0" w:firstRowFirstColumn="0" w:firstRowLastColumn="0" w:lastRowFirstColumn="0" w:lastRowLastColumn="0"/>
            </w:pPr>
            <w:r w:rsidRPr="005F1FEF">
              <w:t>0(0,0)</w:t>
            </w:r>
          </w:p>
        </w:tc>
        <w:tc>
          <w:tcPr>
            <w:tcW w:w="1437" w:type="dxa"/>
          </w:tcPr>
          <w:p w:rsidR="00DB3AF7" w:rsidRPr="005F1FEF" w:rsidRDefault="00DB3AF7" w:rsidP="00DB3AF7">
            <w:pPr>
              <w:spacing w:line="259" w:lineRule="auto"/>
              <w:ind w:left="1"/>
              <w:jc w:val="right"/>
              <w:cnfStyle w:val="000000100000" w:firstRow="0" w:lastRow="0" w:firstColumn="0" w:lastColumn="0" w:oddVBand="0" w:evenVBand="0" w:oddHBand="1" w:evenHBand="0" w:firstRowFirstColumn="0" w:firstRowLastColumn="0" w:lastRowFirstColumn="0" w:lastRowLastColumn="0"/>
            </w:pPr>
            <w:r w:rsidRPr="005F1FEF">
              <w:t>2(1,8)</w:t>
            </w:r>
          </w:p>
        </w:tc>
        <w:tc>
          <w:tcPr>
            <w:tcW w:w="1437" w:type="dxa"/>
          </w:tcPr>
          <w:p w:rsidR="00DB3AF7" w:rsidRPr="005F1FEF" w:rsidRDefault="00DB3AF7" w:rsidP="00DB3AF7">
            <w:pPr>
              <w:spacing w:line="259" w:lineRule="auto"/>
              <w:ind w:left="1"/>
              <w:jc w:val="right"/>
              <w:cnfStyle w:val="000000100000" w:firstRow="0" w:lastRow="0" w:firstColumn="0" w:lastColumn="0" w:oddVBand="0" w:evenVBand="0" w:oddHBand="1" w:evenHBand="0" w:firstRowFirstColumn="0" w:firstRowLastColumn="0" w:lastRowFirstColumn="0" w:lastRowLastColumn="0"/>
            </w:pPr>
            <w:r w:rsidRPr="005F1FEF">
              <w:t>15(1,4)</w:t>
            </w:r>
          </w:p>
        </w:tc>
        <w:tc>
          <w:tcPr>
            <w:tcW w:w="1438" w:type="dxa"/>
          </w:tcPr>
          <w:p w:rsidR="00DB3AF7" w:rsidRPr="005F1FEF" w:rsidRDefault="00DB3AF7" w:rsidP="00DB3AF7">
            <w:pPr>
              <w:spacing w:line="259" w:lineRule="auto"/>
              <w:ind w:right="2"/>
              <w:jc w:val="right"/>
              <w:cnfStyle w:val="000000100000" w:firstRow="0" w:lastRow="0" w:firstColumn="0" w:lastColumn="0" w:oddVBand="0" w:evenVBand="0" w:oddHBand="1" w:evenHBand="0" w:firstRowFirstColumn="0" w:firstRowLastColumn="0" w:lastRowFirstColumn="0" w:lastRowLastColumn="0"/>
            </w:pPr>
            <w:r w:rsidRPr="005F1FEF">
              <w:t>43(9,4)</w:t>
            </w:r>
          </w:p>
        </w:tc>
      </w:tr>
      <w:tr w:rsidR="00DB3AF7" w:rsidRPr="005F1FEF" w:rsidTr="004F13ED">
        <w:trPr>
          <w:cnfStyle w:val="000000010000" w:firstRow="0" w:lastRow="0" w:firstColumn="0" w:lastColumn="0" w:oddVBand="0" w:evenVBand="0" w:oddHBand="0" w:evenHBand="1" w:firstRowFirstColumn="0" w:firstRowLastColumn="0" w:lastRowFirstColumn="0" w:lastRowLastColumn="0"/>
          <w:trHeight w:val="291"/>
          <w:jc w:val="center"/>
        </w:trPr>
        <w:tc>
          <w:tcPr>
            <w:cnfStyle w:val="001000000000" w:firstRow="0" w:lastRow="0" w:firstColumn="1" w:lastColumn="0" w:oddVBand="0" w:evenVBand="0" w:oddHBand="0" w:evenHBand="0" w:firstRowFirstColumn="0" w:firstRowLastColumn="0" w:lastRowFirstColumn="0" w:lastRowLastColumn="0"/>
            <w:tcW w:w="873" w:type="dxa"/>
          </w:tcPr>
          <w:p w:rsidR="00DB3AF7" w:rsidRPr="00E84E25" w:rsidRDefault="00DB3AF7" w:rsidP="00DB3AF7">
            <w:pPr>
              <w:spacing w:line="259" w:lineRule="auto"/>
              <w:ind w:right="9"/>
              <w:jc w:val="right"/>
              <w:rPr>
                <w:szCs w:val="20"/>
              </w:rPr>
            </w:pPr>
            <w:r w:rsidRPr="00E84E25">
              <w:rPr>
                <w:szCs w:val="20"/>
              </w:rPr>
              <w:t>2014.</w:t>
            </w:r>
          </w:p>
        </w:tc>
        <w:tc>
          <w:tcPr>
            <w:tcW w:w="1438" w:type="dxa"/>
          </w:tcPr>
          <w:p w:rsidR="00DB3AF7" w:rsidRPr="00E84E25" w:rsidRDefault="00DB3AF7" w:rsidP="00DB3AF7">
            <w:pPr>
              <w:spacing w:line="259" w:lineRule="auto"/>
              <w:ind w:right="2"/>
              <w:jc w:val="right"/>
              <w:cnfStyle w:val="000000010000" w:firstRow="0" w:lastRow="0" w:firstColumn="0" w:lastColumn="0" w:oddVBand="0" w:evenVBand="0" w:oddHBand="0" w:evenHBand="1" w:firstRowFirstColumn="0" w:firstRowLastColumn="0" w:lastRowFirstColumn="0" w:lastRowLastColumn="0"/>
            </w:pPr>
            <w:r>
              <w:t>1(5,8)</w:t>
            </w:r>
          </w:p>
        </w:tc>
        <w:tc>
          <w:tcPr>
            <w:tcW w:w="1437" w:type="dxa"/>
          </w:tcPr>
          <w:p w:rsidR="00DB3AF7" w:rsidRPr="00E84E25" w:rsidRDefault="00DB3AF7" w:rsidP="00DB3AF7">
            <w:pPr>
              <w:spacing w:line="259" w:lineRule="auto"/>
              <w:ind w:right="1"/>
              <w:jc w:val="right"/>
              <w:cnfStyle w:val="000000010000" w:firstRow="0" w:lastRow="0" w:firstColumn="0" w:lastColumn="0" w:oddVBand="0" w:evenVBand="0" w:oddHBand="0" w:evenHBand="1" w:firstRowFirstColumn="0" w:firstRowLastColumn="0" w:lastRowFirstColumn="0" w:lastRowLastColumn="0"/>
            </w:pPr>
            <w:r>
              <w:t>0(0,0)</w:t>
            </w:r>
          </w:p>
        </w:tc>
        <w:tc>
          <w:tcPr>
            <w:tcW w:w="1437" w:type="dxa"/>
          </w:tcPr>
          <w:p w:rsidR="00DB3AF7" w:rsidRPr="00E84E25" w:rsidRDefault="00DB3AF7" w:rsidP="00DB3AF7">
            <w:pPr>
              <w:spacing w:line="259" w:lineRule="auto"/>
              <w:ind w:left="1"/>
              <w:jc w:val="right"/>
              <w:cnfStyle w:val="000000010000" w:firstRow="0" w:lastRow="0" w:firstColumn="0" w:lastColumn="0" w:oddVBand="0" w:evenVBand="0" w:oddHBand="0" w:evenHBand="1" w:firstRowFirstColumn="0" w:firstRowLastColumn="0" w:lastRowFirstColumn="0" w:lastRowLastColumn="0"/>
            </w:pPr>
            <w:r>
              <w:t>1(0,7)</w:t>
            </w:r>
          </w:p>
        </w:tc>
        <w:tc>
          <w:tcPr>
            <w:tcW w:w="1437" w:type="dxa"/>
          </w:tcPr>
          <w:p w:rsidR="00DB3AF7" w:rsidRPr="00E84E25" w:rsidRDefault="00DB3AF7" w:rsidP="00DB3AF7">
            <w:pPr>
              <w:spacing w:line="259" w:lineRule="auto"/>
              <w:ind w:left="1"/>
              <w:jc w:val="right"/>
              <w:cnfStyle w:val="000000010000" w:firstRow="0" w:lastRow="0" w:firstColumn="0" w:lastColumn="0" w:oddVBand="0" w:evenVBand="0" w:oddHBand="0" w:evenHBand="1" w:firstRowFirstColumn="0" w:firstRowLastColumn="0" w:lastRowFirstColumn="0" w:lastRowLastColumn="0"/>
            </w:pPr>
            <w:r>
              <w:t>0(0,0)</w:t>
            </w:r>
          </w:p>
        </w:tc>
        <w:tc>
          <w:tcPr>
            <w:tcW w:w="1437" w:type="dxa"/>
          </w:tcPr>
          <w:p w:rsidR="00DB3AF7" w:rsidRPr="00E84E25" w:rsidRDefault="00DB3AF7" w:rsidP="00DB3AF7">
            <w:pPr>
              <w:spacing w:line="259" w:lineRule="auto"/>
              <w:ind w:left="1"/>
              <w:jc w:val="right"/>
              <w:cnfStyle w:val="000000010000" w:firstRow="0" w:lastRow="0" w:firstColumn="0" w:lastColumn="0" w:oddVBand="0" w:evenVBand="0" w:oddHBand="0" w:evenHBand="1" w:firstRowFirstColumn="0" w:firstRowLastColumn="0" w:lastRowFirstColumn="0" w:lastRowLastColumn="0"/>
            </w:pPr>
            <w:r>
              <w:t>20(1,8)</w:t>
            </w:r>
          </w:p>
        </w:tc>
        <w:tc>
          <w:tcPr>
            <w:tcW w:w="1438" w:type="dxa"/>
          </w:tcPr>
          <w:p w:rsidR="00DB3AF7" w:rsidRPr="00E84E25" w:rsidRDefault="00DB3AF7" w:rsidP="00DB3AF7">
            <w:pPr>
              <w:spacing w:line="259" w:lineRule="auto"/>
              <w:ind w:right="2"/>
              <w:jc w:val="right"/>
              <w:cnfStyle w:val="000000010000" w:firstRow="0" w:lastRow="0" w:firstColumn="0" w:lastColumn="0" w:oddVBand="0" w:evenVBand="0" w:oddHBand="0" w:evenHBand="1" w:firstRowFirstColumn="0" w:firstRowLastColumn="0" w:lastRowFirstColumn="0" w:lastRowLastColumn="0"/>
            </w:pPr>
            <w:r>
              <w:t>48(10,5)</w:t>
            </w:r>
          </w:p>
        </w:tc>
      </w:tr>
      <w:tr w:rsidR="005F1FEF" w:rsidRPr="00E84E25" w:rsidTr="004F13ED">
        <w:trPr>
          <w:cnfStyle w:val="000000100000" w:firstRow="0" w:lastRow="0" w:firstColumn="0" w:lastColumn="0" w:oddVBand="0" w:evenVBand="0" w:oddHBand="1" w:evenHBand="0" w:firstRowFirstColumn="0" w:firstRowLastColumn="0" w:lastRowFirstColumn="0" w:lastRowLastColumn="0"/>
          <w:trHeight w:val="291"/>
          <w:jc w:val="center"/>
        </w:trPr>
        <w:tc>
          <w:tcPr>
            <w:cnfStyle w:val="001000000000" w:firstRow="0" w:lastRow="0" w:firstColumn="1" w:lastColumn="0" w:oddVBand="0" w:evenVBand="0" w:oddHBand="0" w:evenHBand="0" w:firstRowFirstColumn="0" w:firstRowLastColumn="0" w:lastRowFirstColumn="0" w:lastRowLastColumn="0"/>
            <w:tcW w:w="873" w:type="dxa"/>
          </w:tcPr>
          <w:p w:rsidR="005F1FEF" w:rsidRPr="00E84E25" w:rsidRDefault="005F1FEF" w:rsidP="00DB3AF7">
            <w:pPr>
              <w:spacing w:line="259" w:lineRule="auto"/>
              <w:ind w:right="9"/>
              <w:jc w:val="right"/>
              <w:rPr>
                <w:szCs w:val="20"/>
              </w:rPr>
            </w:pPr>
            <w:r w:rsidRPr="00E84E25">
              <w:rPr>
                <w:szCs w:val="20"/>
              </w:rPr>
              <w:t>201</w:t>
            </w:r>
            <w:r w:rsidR="00DB3AF7">
              <w:rPr>
                <w:szCs w:val="20"/>
              </w:rPr>
              <w:t>5</w:t>
            </w:r>
            <w:r w:rsidRPr="00E84E25">
              <w:rPr>
                <w:szCs w:val="20"/>
              </w:rPr>
              <w:t>.</w:t>
            </w:r>
          </w:p>
        </w:tc>
        <w:tc>
          <w:tcPr>
            <w:tcW w:w="1438" w:type="dxa"/>
          </w:tcPr>
          <w:p w:rsidR="005F1FEF" w:rsidRPr="00E84E25" w:rsidRDefault="00DB3AF7" w:rsidP="00CE4288">
            <w:pPr>
              <w:spacing w:line="259" w:lineRule="auto"/>
              <w:ind w:right="2"/>
              <w:jc w:val="right"/>
              <w:cnfStyle w:val="000000100000" w:firstRow="0" w:lastRow="0" w:firstColumn="0" w:lastColumn="0" w:oddVBand="0" w:evenVBand="0" w:oddHBand="1" w:evenHBand="0" w:firstRowFirstColumn="0" w:firstRowLastColumn="0" w:lastRowFirstColumn="0" w:lastRowLastColumn="0"/>
            </w:pPr>
            <w:r>
              <w:t>1(5,8)</w:t>
            </w:r>
          </w:p>
        </w:tc>
        <w:tc>
          <w:tcPr>
            <w:tcW w:w="1437" w:type="dxa"/>
          </w:tcPr>
          <w:p w:rsidR="005F1FEF" w:rsidRPr="00E84E25" w:rsidRDefault="00DB3AF7" w:rsidP="00CE4288">
            <w:pPr>
              <w:spacing w:line="259" w:lineRule="auto"/>
              <w:ind w:right="1"/>
              <w:jc w:val="right"/>
              <w:cnfStyle w:val="000000100000" w:firstRow="0" w:lastRow="0" w:firstColumn="0" w:lastColumn="0" w:oddVBand="0" w:evenVBand="0" w:oddHBand="1" w:evenHBand="0" w:firstRowFirstColumn="0" w:firstRowLastColumn="0" w:lastRowFirstColumn="0" w:lastRowLastColumn="0"/>
            </w:pPr>
            <w:r>
              <w:t>2(1,8)</w:t>
            </w:r>
          </w:p>
        </w:tc>
        <w:tc>
          <w:tcPr>
            <w:tcW w:w="1437" w:type="dxa"/>
          </w:tcPr>
          <w:p w:rsidR="005F1FEF" w:rsidRPr="00E84E25" w:rsidRDefault="00DB3AF7" w:rsidP="00CE4288">
            <w:pPr>
              <w:spacing w:line="259" w:lineRule="auto"/>
              <w:ind w:left="1"/>
              <w:jc w:val="right"/>
              <w:cnfStyle w:val="000000100000" w:firstRow="0" w:lastRow="0" w:firstColumn="0" w:lastColumn="0" w:oddVBand="0" w:evenVBand="0" w:oddHBand="1" w:evenHBand="0" w:firstRowFirstColumn="0" w:firstRowLastColumn="0" w:lastRowFirstColumn="0" w:lastRowLastColumn="0"/>
            </w:pPr>
            <w:r>
              <w:t>1(0,7)</w:t>
            </w:r>
          </w:p>
        </w:tc>
        <w:tc>
          <w:tcPr>
            <w:tcW w:w="1437" w:type="dxa"/>
          </w:tcPr>
          <w:p w:rsidR="005F1FEF" w:rsidRPr="00E84E25" w:rsidRDefault="00DB3AF7" w:rsidP="00CE4288">
            <w:pPr>
              <w:spacing w:line="259" w:lineRule="auto"/>
              <w:ind w:left="1"/>
              <w:jc w:val="right"/>
              <w:cnfStyle w:val="000000100000" w:firstRow="0" w:lastRow="0" w:firstColumn="0" w:lastColumn="0" w:oddVBand="0" w:evenVBand="0" w:oddHBand="1" w:evenHBand="0" w:firstRowFirstColumn="0" w:firstRowLastColumn="0" w:lastRowFirstColumn="0" w:lastRowLastColumn="0"/>
            </w:pPr>
            <w:r>
              <w:t>1(0,9)</w:t>
            </w:r>
          </w:p>
        </w:tc>
        <w:tc>
          <w:tcPr>
            <w:tcW w:w="1437" w:type="dxa"/>
          </w:tcPr>
          <w:p w:rsidR="005F1FEF" w:rsidRPr="00E84E25" w:rsidRDefault="001A5C19" w:rsidP="001A5C19">
            <w:pPr>
              <w:spacing w:line="259" w:lineRule="auto"/>
              <w:ind w:left="1"/>
              <w:jc w:val="right"/>
              <w:cnfStyle w:val="000000100000" w:firstRow="0" w:lastRow="0" w:firstColumn="0" w:lastColumn="0" w:oddVBand="0" w:evenVBand="0" w:oddHBand="1" w:evenHBand="0" w:firstRowFirstColumn="0" w:firstRowLastColumn="0" w:lastRowFirstColumn="0" w:lastRowLastColumn="0"/>
            </w:pPr>
            <w:r>
              <w:t>10</w:t>
            </w:r>
            <w:r w:rsidR="00DB3AF7">
              <w:t>(</w:t>
            </w:r>
            <w:r>
              <w:t>0</w:t>
            </w:r>
            <w:r w:rsidR="00DB3AF7">
              <w:t>,</w:t>
            </w:r>
            <w:r>
              <w:t>9</w:t>
            </w:r>
            <w:r w:rsidR="00DB3AF7">
              <w:t>)</w:t>
            </w:r>
          </w:p>
        </w:tc>
        <w:tc>
          <w:tcPr>
            <w:tcW w:w="1438" w:type="dxa"/>
          </w:tcPr>
          <w:p w:rsidR="005F1FEF" w:rsidRPr="00E84E25" w:rsidRDefault="001A5C19" w:rsidP="001A5C19">
            <w:pPr>
              <w:spacing w:line="259" w:lineRule="auto"/>
              <w:ind w:right="2"/>
              <w:jc w:val="right"/>
              <w:cnfStyle w:val="000000100000" w:firstRow="0" w:lastRow="0" w:firstColumn="0" w:lastColumn="0" w:oddVBand="0" w:evenVBand="0" w:oddHBand="1" w:evenHBand="0" w:firstRowFirstColumn="0" w:firstRowLastColumn="0" w:lastRowFirstColumn="0" w:lastRowLastColumn="0"/>
            </w:pPr>
            <w:r>
              <w:t>29</w:t>
            </w:r>
            <w:r w:rsidR="00DB3AF7">
              <w:t>(</w:t>
            </w:r>
            <w:r>
              <w:t>6</w:t>
            </w:r>
            <w:r w:rsidR="00DB3AF7">
              <w:t>,3)</w:t>
            </w:r>
          </w:p>
        </w:tc>
      </w:tr>
      <w:tr w:rsidR="00250C27" w:rsidRPr="00E84E25" w:rsidTr="004F13ED">
        <w:trPr>
          <w:cnfStyle w:val="000000010000" w:firstRow="0" w:lastRow="0" w:firstColumn="0" w:lastColumn="0" w:oddVBand="0" w:evenVBand="0" w:oddHBand="0" w:evenHBand="1" w:firstRowFirstColumn="0" w:firstRowLastColumn="0" w:lastRowFirstColumn="0" w:lastRowLastColumn="0"/>
          <w:trHeight w:val="291"/>
          <w:jc w:val="center"/>
        </w:trPr>
        <w:tc>
          <w:tcPr>
            <w:cnfStyle w:val="001000000000" w:firstRow="0" w:lastRow="0" w:firstColumn="1" w:lastColumn="0" w:oddVBand="0" w:evenVBand="0" w:oddHBand="0" w:evenHBand="0" w:firstRowFirstColumn="0" w:firstRowLastColumn="0" w:lastRowFirstColumn="0" w:lastRowLastColumn="0"/>
            <w:tcW w:w="873" w:type="dxa"/>
          </w:tcPr>
          <w:p w:rsidR="00250C27" w:rsidRPr="00E84E25" w:rsidRDefault="00250C27" w:rsidP="00DB3AF7">
            <w:pPr>
              <w:spacing w:line="259" w:lineRule="auto"/>
              <w:ind w:right="9"/>
              <w:jc w:val="right"/>
              <w:rPr>
                <w:szCs w:val="20"/>
              </w:rPr>
            </w:pPr>
            <w:r>
              <w:rPr>
                <w:szCs w:val="20"/>
              </w:rPr>
              <w:t>2016.</w:t>
            </w:r>
          </w:p>
        </w:tc>
        <w:tc>
          <w:tcPr>
            <w:tcW w:w="1438" w:type="dxa"/>
          </w:tcPr>
          <w:p w:rsidR="00250C27" w:rsidRPr="008548FC" w:rsidRDefault="008548FC" w:rsidP="00CE4288">
            <w:pPr>
              <w:spacing w:line="259" w:lineRule="auto"/>
              <w:ind w:right="2"/>
              <w:jc w:val="right"/>
              <w:cnfStyle w:val="000000010000" w:firstRow="0" w:lastRow="0" w:firstColumn="0" w:lastColumn="0" w:oddVBand="0" w:evenVBand="0" w:oddHBand="0" w:evenHBand="1" w:firstRowFirstColumn="0" w:firstRowLastColumn="0" w:lastRowFirstColumn="0" w:lastRowLastColumn="0"/>
            </w:pPr>
            <w:r>
              <w:t>1(5,8)</w:t>
            </w:r>
          </w:p>
        </w:tc>
        <w:tc>
          <w:tcPr>
            <w:tcW w:w="1437" w:type="dxa"/>
          </w:tcPr>
          <w:p w:rsidR="00250C27" w:rsidRPr="008548FC" w:rsidRDefault="008548FC" w:rsidP="00CE4288">
            <w:pPr>
              <w:spacing w:line="259" w:lineRule="auto"/>
              <w:ind w:right="1"/>
              <w:jc w:val="right"/>
              <w:cnfStyle w:val="000000010000" w:firstRow="0" w:lastRow="0" w:firstColumn="0" w:lastColumn="0" w:oddVBand="0" w:evenVBand="0" w:oddHBand="0" w:evenHBand="1" w:firstRowFirstColumn="0" w:firstRowLastColumn="0" w:lastRowFirstColumn="0" w:lastRowLastColumn="0"/>
            </w:pPr>
            <w:r>
              <w:t>0(0,0)</w:t>
            </w:r>
          </w:p>
        </w:tc>
        <w:tc>
          <w:tcPr>
            <w:tcW w:w="1437" w:type="dxa"/>
          </w:tcPr>
          <w:p w:rsidR="00250C27" w:rsidRPr="008548FC" w:rsidRDefault="008548FC" w:rsidP="00CE4288">
            <w:pPr>
              <w:spacing w:line="259" w:lineRule="auto"/>
              <w:ind w:left="1"/>
              <w:jc w:val="right"/>
              <w:cnfStyle w:val="000000010000" w:firstRow="0" w:lastRow="0" w:firstColumn="0" w:lastColumn="0" w:oddVBand="0" w:evenVBand="0" w:oddHBand="0" w:evenHBand="1" w:firstRowFirstColumn="0" w:firstRowLastColumn="0" w:lastRowFirstColumn="0" w:lastRowLastColumn="0"/>
            </w:pPr>
            <w:r>
              <w:t>0(0,0)</w:t>
            </w:r>
          </w:p>
        </w:tc>
        <w:tc>
          <w:tcPr>
            <w:tcW w:w="1437" w:type="dxa"/>
          </w:tcPr>
          <w:p w:rsidR="00250C27" w:rsidRPr="008548FC" w:rsidRDefault="008548FC" w:rsidP="00CE4288">
            <w:pPr>
              <w:spacing w:line="259" w:lineRule="auto"/>
              <w:ind w:left="1"/>
              <w:jc w:val="right"/>
              <w:cnfStyle w:val="000000010000" w:firstRow="0" w:lastRow="0" w:firstColumn="0" w:lastColumn="0" w:oddVBand="0" w:evenVBand="0" w:oddHBand="0" w:evenHBand="1" w:firstRowFirstColumn="0" w:firstRowLastColumn="0" w:lastRowFirstColumn="0" w:lastRowLastColumn="0"/>
            </w:pPr>
            <w:r>
              <w:t>0(0,0)</w:t>
            </w:r>
          </w:p>
        </w:tc>
        <w:tc>
          <w:tcPr>
            <w:tcW w:w="1437" w:type="dxa"/>
          </w:tcPr>
          <w:p w:rsidR="00250C27" w:rsidRPr="008548FC" w:rsidRDefault="00B66423" w:rsidP="001A5C19">
            <w:pPr>
              <w:spacing w:line="259" w:lineRule="auto"/>
              <w:ind w:left="1"/>
              <w:jc w:val="right"/>
              <w:cnfStyle w:val="000000010000" w:firstRow="0" w:lastRow="0" w:firstColumn="0" w:lastColumn="0" w:oddVBand="0" w:evenVBand="0" w:oddHBand="0" w:evenHBand="1" w:firstRowFirstColumn="0" w:firstRowLastColumn="0" w:lastRowFirstColumn="0" w:lastRowLastColumn="0"/>
            </w:pPr>
            <w:r>
              <w:t>13(1,2</w:t>
            </w:r>
            <w:r w:rsidR="008548FC">
              <w:t>)</w:t>
            </w:r>
          </w:p>
        </w:tc>
        <w:tc>
          <w:tcPr>
            <w:tcW w:w="1438" w:type="dxa"/>
          </w:tcPr>
          <w:p w:rsidR="00250C27" w:rsidRPr="008548FC" w:rsidRDefault="008548FC" w:rsidP="001A5C19">
            <w:pPr>
              <w:spacing w:line="259" w:lineRule="auto"/>
              <w:ind w:right="2"/>
              <w:jc w:val="right"/>
              <w:cnfStyle w:val="000000010000" w:firstRow="0" w:lastRow="0" w:firstColumn="0" w:lastColumn="0" w:oddVBand="0" w:evenVBand="0" w:oddHBand="0" w:evenHBand="1" w:firstRowFirstColumn="0" w:firstRowLastColumn="0" w:lastRowFirstColumn="0" w:lastRowLastColumn="0"/>
            </w:pPr>
            <w:r>
              <w:t>28(6,1)</w:t>
            </w:r>
          </w:p>
        </w:tc>
      </w:tr>
      <w:tr w:rsidR="004F13ED" w:rsidRPr="00E84E25" w:rsidTr="004F13ED">
        <w:trPr>
          <w:cnfStyle w:val="000000100000" w:firstRow="0" w:lastRow="0" w:firstColumn="0" w:lastColumn="0" w:oddVBand="0" w:evenVBand="0" w:oddHBand="1" w:evenHBand="0" w:firstRowFirstColumn="0" w:firstRowLastColumn="0" w:lastRowFirstColumn="0" w:lastRowLastColumn="0"/>
          <w:trHeight w:val="291"/>
          <w:jc w:val="center"/>
        </w:trPr>
        <w:tc>
          <w:tcPr>
            <w:cnfStyle w:val="001000000000" w:firstRow="0" w:lastRow="0" w:firstColumn="1" w:lastColumn="0" w:oddVBand="0" w:evenVBand="0" w:oddHBand="0" w:evenHBand="0" w:firstRowFirstColumn="0" w:firstRowLastColumn="0" w:lastRowFirstColumn="0" w:lastRowLastColumn="0"/>
            <w:tcW w:w="873" w:type="dxa"/>
          </w:tcPr>
          <w:p w:rsidR="004F13ED" w:rsidRDefault="004F13ED" w:rsidP="00DB3AF7">
            <w:pPr>
              <w:spacing w:line="259" w:lineRule="auto"/>
              <w:ind w:right="9"/>
              <w:jc w:val="right"/>
              <w:rPr>
                <w:szCs w:val="20"/>
              </w:rPr>
            </w:pPr>
            <w:r>
              <w:rPr>
                <w:szCs w:val="20"/>
              </w:rPr>
              <w:t>2017.</w:t>
            </w:r>
          </w:p>
        </w:tc>
        <w:tc>
          <w:tcPr>
            <w:tcW w:w="1438" w:type="dxa"/>
          </w:tcPr>
          <w:p w:rsidR="006A1F12" w:rsidRDefault="0089598A" w:rsidP="0089598A">
            <w:pPr>
              <w:spacing w:line="259" w:lineRule="auto"/>
              <w:ind w:right="2"/>
              <w:cnfStyle w:val="000000100000" w:firstRow="0" w:lastRow="0" w:firstColumn="0" w:lastColumn="0" w:oddVBand="0" w:evenVBand="0" w:oddHBand="1" w:evenHBand="0" w:firstRowFirstColumn="0" w:firstRowLastColumn="0" w:lastRowFirstColumn="0" w:lastRowLastColumn="0"/>
            </w:pPr>
            <w:r>
              <w:t xml:space="preserve">            1</w:t>
            </w:r>
            <w:r w:rsidR="00B66B69">
              <w:t>(</w:t>
            </w:r>
            <w:r w:rsidR="00F77810">
              <w:t>5,8)</w:t>
            </w:r>
          </w:p>
        </w:tc>
        <w:tc>
          <w:tcPr>
            <w:tcW w:w="1437" w:type="dxa"/>
          </w:tcPr>
          <w:p w:rsidR="00446803" w:rsidRDefault="0089598A" w:rsidP="00446803">
            <w:pPr>
              <w:spacing w:line="259" w:lineRule="auto"/>
              <w:ind w:right="1"/>
              <w:cnfStyle w:val="000000100000" w:firstRow="0" w:lastRow="0" w:firstColumn="0" w:lastColumn="0" w:oddVBand="0" w:evenVBand="0" w:oddHBand="1" w:evenHBand="0" w:firstRowFirstColumn="0" w:firstRowLastColumn="0" w:lastRowFirstColumn="0" w:lastRowLastColumn="0"/>
            </w:pPr>
            <w:r>
              <w:t xml:space="preserve">            0(0,0)</w:t>
            </w:r>
          </w:p>
        </w:tc>
        <w:tc>
          <w:tcPr>
            <w:tcW w:w="1437" w:type="dxa"/>
          </w:tcPr>
          <w:p w:rsidR="004F13ED" w:rsidRDefault="0089598A" w:rsidP="00CE4288">
            <w:pPr>
              <w:spacing w:line="259" w:lineRule="auto"/>
              <w:ind w:left="1"/>
              <w:jc w:val="right"/>
              <w:cnfStyle w:val="000000100000" w:firstRow="0" w:lastRow="0" w:firstColumn="0" w:lastColumn="0" w:oddVBand="0" w:evenVBand="0" w:oddHBand="1" w:evenHBand="0" w:firstRowFirstColumn="0" w:firstRowLastColumn="0" w:lastRowFirstColumn="0" w:lastRowLastColumn="0"/>
            </w:pPr>
            <w:r>
              <w:t>0(0,0)</w:t>
            </w:r>
          </w:p>
        </w:tc>
        <w:tc>
          <w:tcPr>
            <w:tcW w:w="1437" w:type="dxa"/>
          </w:tcPr>
          <w:p w:rsidR="004F13ED" w:rsidRDefault="0089598A" w:rsidP="00CE4288">
            <w:pPr>
              <w:spacing w:line="259" w:lineRule="auto"/>
              <w:ind w:left="1"/>
              <w:jc w:val="right"/>
              <w:cnfStyle w:val="000000100000" w:firstRow="0" w:lastRow="0" w:firstColumn="0" w:lastColumn="0" w:oddVBand="0" w:evenVBand="0" w:oddHBand="1" w:evenHBand="0" w:firstRowFirstColumn="0" w:firstRowLastColumn="0" w:lastRowFirstColumn="0" w:lastRowLastColumn="0"/>
            </w:pPr>
            <w:r>
              <w:t>0(0,</w:t>
            </w:r>
            <w:r w:rsidR="00B66B69">
              <w:t xml:space="preserve"> </w:t>
            </w:r>
            <w:r>
              <w:t>0)</w:t>
            </w:r>
          </w:p>
        </w:tc>
        <w:tc>
          <w:tcPr>
            <w:tcW w:w="1437" w:type="dxa"/>
          </w:tcPr>
          <w:p w:rsidR="004F13ED" w:rsidRDefault="0089598A" w:rsidP="001A5C19">
            <w:pPr>
              <w:spacing w:line="259" w:lineRule="auto"/>
              <w:ind w:left="1"/>
              <w:jc w:val="right"/>
              <w:cnfStyle w:val="000000100000" w:firstRow="0" w:lastRow="0" w:firstColumn="0" w:lastColumn="0" w:oddVBand="0" w:evenVBand="0" w:oddHBand="1" w:evenHBand="0" w:firstRowFirstColumn="0" w:firstRowLastColumn="0" w:lastRowFirstColumn="0" w:lastRowLastColumn="0"/>
            </w:pPr>
            <w:r>
              <w:t>11 (</w:t>
            </w:r>
            <w:r w:rsidR="00F77810">
              <w:t>1,0</w:t>
            </w:r>
            <w:r>
              <w:t xml:space="preserve">  )</w:t>
            </w:r>
          </w:p>
        </w:tc>
        <w:tc>
          <w:tcPr>
            <w:tcW w:w="1438" w:type="dxa"/>
          </w:tcPr>
          <w:p w:rsidR="004F13ED" w:rsidRDefault="00B66B69" w:rsidP="001A5C19">
            <w:pPr>
              <w:spacing w:line="259" w:lineRule="auto"/>
              <w:ind w:right="2"/>
              <w:jc w:val="right"/>
              <w:cnfStyle w:val="000000100000" w:firstRow="0" w:lastRow="0" w:firstColumn="0" w:lastColumn="0" w:oddVBand="0" w:evenVBand="0" w:oddHBand="1" w:evenHBand="0" w:firstRowFirstColumn="0" w:firstRowLastColumn="0" w:lastRowFirstColumn="0" w:lastRowLastColumn="0"/>
            </w:pPr>
            <w:r>
              <w:t>15</w:t>
            </w:r>
            <w:r w:rsidR="00F77810">
              <w:t>(3,3</w:t>
            </w:r>
            <w:r w:rsidR="0089598A">
              <w:t>)</w:t>
            </w:r>
          </w:p>
        </w:tc>
      </w:tr>
    </w:tbl>
    <w:p w:rsidR="009B2C78" w:rsidRPr="009B2C78" w:rsidRDefault="009B2C78" w:rsidP="003771BC">
      <w:pPr>
        <w:rPr>
          <w:lang w:val="sr-Cyrl-RS"/>
        </w:rPr>
      </w:pPr>
      <w:bookmarkStart w:id="6" w:name="_Toc389134513"/>
    </w:p>
    <w:p w:rsidR="003771BC" w:rsidRPr="009254FB" w:rsidRDefault="009B2C78" w:rsidP="00BD1967">
      <w:pPr>
        <w:spacing w:line="240" w:lineRule="auto"/>
        <w:jc w:val="center"/>
        <w:rPr>
          <w:rFonts w:asciiTheme="majorHAnsi" w:hAnsiTheme="majorHAnsi"/>
          <w:b/>
          <w:sz w:val="24"/>
          <w:szCs w:val="24"/>
          <w:u w:val="single"/>
        </w:rPr>
      </w:pPr>
      <w:bookmarkStart w:id="7" w:name="_Toc389134514"/>
      <w:bookmarkStart w:id="8" w:name="_Toc515520272"/>
      <w:bookmarkStart w:id="9" w:name="_Toc515524114"/>
      <w:bookmarkEnd w:id="6"/>
      <w:r w:rsidRPr="009254FB">
        <w:rPr>
          <w:rFonts w:asciiTheme="majorHAnsi" w:hAnsiTheme="majorHAnsi"/>
          <w:b/>
          <w:sz w:val="24"/>
          <w:szCs w:val="24"/>
          <w:u w:val="single"/>
          <w:lang w:val="sr-Cyrl-RS"/>
        </w:rPr>
        <w:t xml:space="preserve">Подаци о </w:t>
      </w:r>
      <w:r w:rsidRPr="009254FB">
        <w:rPr>
          <w:rFonts w:asciiTheme="majorHAnsi" w:hAnsiTheme="majorHAnsi"/>
          <w:b/>
          <w:sz w:val="24"/>
          <w:szCs w:val="24"/>
          <w:u w:val="single"/>
        </w:rPr>
        <w:t>обавезној имунизацији</w:t>
      </w:r>
      <w:r w:rsidR="003771BC" w:rsidRPr="009254FB">
        <w:rPr>
          <w:rFonts w:asciiTheme="majorHAnsi" w:hAnsiTheme="majorHAnsi"/>
          <w:b/>
          <w:sz w:val="24"/>
          <w:szCs w:val="24"/>
          <w:u w:val="single"/>
        </w:rPr>
        <w:t xml:space="preserve"> лица одређеног узраста</w:t>
      </w:r>
      <w:r w:rsidR="00BD1967" w:rsidRPr="009254FB">
        <w:rPr>
          <w:rFonts w:asciiTheme="majorHAnsi" w:hAnsiTheme="majorHAnsi"/>
          <w:b/>
          <w:sz w:val="24"/>
          <w:szCs w:val="24"/>
          <w:u w:val="single"/>
          <w:lang w:val="sr-Cyrl-RS"/>
        </w:rPr>
        <w:t xml:space="preserve"> и епидемиолошка ситуација вакцинабилних болести</w:t>
      </w:r>
      <w:r w:rsidR="003771BC" w:rsidRPr="009254FB">
        <w:rPr>
          <w:rFonts w:asciiTheme="majorHAnsi" w:hAnsiTheme="majorHAnsi"/>
          <w:b/>
          <w:sz w:val="24"/>
          <w:szCs w:val="24"/>
          <w:u w:val="single"/>
        </w:rPr>
        <w:t xml:space="preserve"> у АП Војводини</w:t>
      </w:r>
      <w:bookmarkEnd w:id="7"/>
      <w:bookmarkEnd w:id="8"/>
      <w:bookmarkEnd w:id="9"/>
      <w:r w:rsidR="00BD1967" w:rsidRPr="009254FB">
        <w:rPr>
          <w:rFonts w:asciiTheme="majorHAnsi" w:hAnsiTheme="majorHAnsi"/>
          <w:b/>
          <w:sz w:val="24"/>
          <w:szCs w:val="24"/>
          <w:u w:val="single"/>
          <w:lang w:val="sr-Cyrl-RS"/>
        </w:rPr>
        <w:t xml:space="preserve"> </w:t>
      </w:r>
      <w:r w:rsidRPr="009254FB">
        <w:rPr>
          <w:rFonts w:asciiTheme="majorHAnsi" w:hAnsiTheme="majorHAnsi"/>
          <w:b/>
          <w:sz w:val="24"/>
          <w:szCs w:val="24"/>
          <w:u w:val="single"/>
          <w:lang w:val="sr-Cyrl-RS"/>
        </w:rPr>
        <w:t>у периоду 2008-2017</w:t>
      </w:r>
    </w:p>
    <w:p w:rsidR="009B2C78" w:rsidRPr="00C338D4" w:rsidRDefault="009B2C78" w:rsidP="009B2C78">
      <w:pPr>
        <w:rPr>
          <w:rFonts w:ascii="Century Gothic" w:hAnsi="Century Gothic"/>
          <w:lang w:val="sr-Cyrl-RS"/>
        </w:rPr>
      </w:pPr>
      <w:r w:rsidRPr="00016E48">
        <w:rPr>
          <w:rFonts w:ascii="Century Gothic" w:hAnsi="Century Gothic"/>
          <w:lang w:val="sr-Cyrl-RS"/>
        </w:rPr>
        <w:t>Мада су спровођењем програма обавезних имунизација, постигнути значајни резултати у спречавању и сузбијању заразних болести у АП Војводини, последњих година долазило је до импортовања и ограниченог епидемијског ширења неких обољења из ове групе (</w:t>
      </w:r>
      <w:r w:rsidRPr="00016E48">
        <w:rPr>
          <w:rFonts w:ascii="Century Gothic" w:hAnsi="Century Gothic"/>
          <w:i/>
          <w:lang w:val="sr-Cyrl-RS"/>
        </w:rPr>
        <w:t xml:space="preserve">Morbilli, Parotitis epidemica), </w:t>
      </w:r>
      <w:r w:rsidRPr="00016E48">
        <w:rPr>
          <w:rFonts w:ascii="Century Gothic" w:hAnsi="Century Gothic"/>
          <w:lang w:val="sr-Cyrl-RS"/>
        </w:rPr>
        <w:t>а тек увођењем организованог и квалитетног надзора препознат је ендемски карактер</w:t>
      </w:r>
      <w:r w:rsidRPr="00016E48">
        <w:rPr>
          <w:rFonts w:ascii="Century Gothic" w:hAnsi="Century Gothic"/>
          <w:i/>
          <w:lang w:val="sr-Cyrl-RS"/>
        </w:rPr>
        <w:t xml:space="preserve"> Pertussis-а, </w:t>
      </w:r>
      <w:r w:rsidRPr="00016E48">
        <w:rPr>
          <w:rFonts w:ascii="Century Gothic" w:hAnsi="Century Gothic"/>
          <w:lang w:val="sr-Cyrl-RS"/>
        </w:rPr>
        <w:t>за који се сматрало да припада елиминисаним болестима.</w:t>
      </w:r>
      <w:r w:rsidRPr="00C338D4">
        <w:rPr>
          <w:rFonts w:ascii="Century Gothic" w:hAnsi="Century Gothic"/>
          <w:lang w:val="sr-Cyrl-RS"/>
        </w:rPr>
        <w:t xml:space="preserve"> </w:t>
      </w:r>
    </w:p>
    <w:p w:rsidR="009B2C78" w:rsidRPr="00DA0EA5" w:rsidRDefault="009B2C78" w:rsidP="009B2C78">
      <w:pPr>
        <w:rPr>
          <w:rFonts w:ascii="Century Gothic" w:hAnsi="Century Gothic"/>
          <w:highlight w:val="yellow"/>
          <w:lang w:val="sr-Cyrl-RS"/>
        </w:rPr>
      </w:pPr>
      <w:r w:rsidRPr="00C338D4">
        <w:rPr>
          <w:rFonts w:ascii="Century Gothic" w:hAnsi="Century Gothic"/>
          <w:lang w:val="sr-Cyrl-RS"/>
        </w:rPr>
        <w:t xml:space="preserve">Важећим законским прописима, у нашој земљи је прописана обавезна имунизација становништва одређеног узраста против 11 заразних болести, али се, до обезбеђивања услова за спровођење имунизације (набавка и дистрибуција вакцина) против пнеумококне болести, имунизација у 2017. години спроводила против 10 заразних болести. </w:t>
      </w:r>
      <w:r>
        <w:rPr>
          <w:rFonts w:ascii="Century Gothic" w:hAnsi="Century Gothic"/>
          <w:lang w:val="sr-Cyrl-RS"/>
        </w:rPr>
        <w:t xml:space="preserve"> Од вакцинабилних заразних болести које имају епидемијски потенцијал у последњих 10 година, региструју се епидемије морбила, мумпса и пертусиса</w:t>
      </w:r>
      <w:r w:rsidR="00073649">
        <w:rPr>
          <w:rFonts w:ascii="Century Gothic" w:hAnsi="Century Gothic"/>
          <w:lang w:val="sr-Cyrl-RS"/>
        </w:rPr>
        <w:t xml:space="preserve"> (табела 3)</w:t>
      </w:r>
      <w:r>
        <w:rPr>
          <w:rFonts w:ascii="Century Gothic" w:hAnsi="Century Gothic"/>
          <w:lang w:val="sr-Cyrl-RS"/>
        </w:rPr>
        <w:t>.</w:t>
      </w:r>
    </w:p>
    <w:p w:rsidR="009B2C78" w:rsidRPr="009254FB" w:rsidRDefault="00016E48" w:rsidP="009254FB">
      <w:pPr>
        <w:spacing w:after="0" w:line="276" w:lineRule="auto"/>
        <w:rPr>
          <w:rFonts w:asciiTheme="majorHAnsi" w:hAnsiTheme="majorHAnsi"/>
          <w:szCs w:val="20"/>
        </w:rPr>
      </w:pPr>
      <w:r w:rsidRPr="009254FB">
        <w:rPr>
          <w:rFonts w:asciiTheme="majorHAnsi" w:hAnsiTheme="majorHAnsi"/>
          <w:szCs w:val="20"/>
          <w:lang w:val="sr-Cyrl-RS"/>
        </w:rPr>
        <w:t>Последњих година</w:t>
      </w:r>
      <w:r w:rsidR="009B2C78" w:rsidRPr="009254FB">
        <w:rPr>
          <w:rFonts w:asciiTheme="majorHAnsi" w:hAnsiTheme="majorHAnsi"/>
          <w:szCs w:val="20"/>
        </w:rPr>
        <w:t xml:space="preserve">, </w:t>
      </w:r>
      <w:r w:rsidRPr="009254FB">
        <w:rPr>
          <w:rFonts w:asciiTheme="majorHAnsi" w:hAnsiTheme="majorHAnsi"/>
          <w:szCs w:val="20"/>
          <w:lang w:val="sr-Cyrl-RS"/>
        </w:rPr>
        <w:t>обухват</w:t>
      </w:r>
      <w:r w:rsidR="009B2C78" w:rsidRPr="009254FB">
        <w:rPr>
          <w:rFonts w:asciiTheme="majorHAnsi" w:hAnsiTheme="majorHAnsi"/>
          <w:szCs w:val="20"/>
        </w:rPr>
        <w:t xml:space="preserve"> ( </w:t>
      </w:r>
      <w:r w:rsidRPr="009254FB">
        <w:rPr>
          <w:rFonts w:asciiTheme="majorHAnsi" w:hAnsiTheme="majorHAnsi"/>
          <w:szCs w:val="20"/>
          <w:lang w:val="sr-Cyrl-RS"/>
        </w:rPr>
        <w:t>број вакцинисане деце у односу на број обвезника</w:t>
      </w:r>
      <w:r w:rsidR="009B2C78" w:rsidRPr="009254FB">
        <w:rPr>
          <w:rFonts w:asciiTheme="majorHAnsi" w:hAnsiTheme="majorHAnsi"/>
          <w:szCs w:val="20"/>
        </w:rPr>
        <w:t xml:space="preserve">, </w:t>
      </w:r>
      <w:r w:rsidRPr="009254FB">
        <w:rPr>
          <w:rFonts w:asciiTheme="majorHAnsi" w:hAnsiTheme="majorHAnsi"/>
          <w:szCs w:val="20"/>
          <w:lang w:val="sr-Cyrl-RS"/>
        </w:rPr>
        <w:t>изражава с</w:t>
      </w:r>
      <w:r w:rsidR="009B2C78" w:rsidRPr="009254FB">
        <w:rPr>
          <w:rFonts w:asciiTheme="majorHAnsi" w:hAnsiTheme="majorHAnsi"/>
          <w:szCs w:val="20"/>
        </w:rPr>
        <w:t xml:space="preserve">e </w:t>
      </w:r>
      <w:r w:rsidRPr="009254FB">
        <w:rPr>
          <w:rFonts w:asciiTheme="majorHAnsi" w:hAnsiTheme="majorHAnsi"/>
          <w:szCs w:val="20"/>
          <w:lang w:val="sr-Cyrl-RS"/>
        </w:rPr>
        <w:t>у процентима</w:t>
      </w:r>
      <w:r w:rsidR="009B2C78" w:rsidRPr="009254FB">
        <w:rPr>
          <w:rFonts w:asciiTheme="majorHAnsi" w:hAnsiTheme="majorHAnsi"/>
          <w:szCs w:val="20"/>
        </w:rPr>
        <w:t xml:space="preserve">) </w:t>
      </w:r>
      <w:r w:rsidRPr="009254FB">
        <w:rPr>
          <w:rFonts w:asciiTheme="majorHAnsi" w:hAnsiTheme="majorHAnsi"/>
          <w:szCs w:val="20"/>
          <w:lang w:val="sr-Cyrl-RS"/>
        </w:rPr>
        <w:t>бележи пад</w:t>
      </w:r>
      <w:r w:rsidR="009B2C78" w:rsidRPr="009254FB">
        <w:rPr>
          <w:rFonts w:asciiTheme="majorHAnsi" w:hAnsiTheme="majorHAnsi"/>
          <w:szCs w:val="20"/>
        </w:rPr>
        <w:t xml:space="preserve"> </w:t>
      </w:r>
      <w:r w:rsidRPr="009254FB">
        <w:rPr>
          <w:rFonts w:asciiTheme="majorHAnsi" w:hAnsiTheme="majorHAnsi"/>
          <w:szCs w:val="20"/>
          <w:lang w:val="sr-Cyrl-RS"/>
        </w:rPr>
        <w:t>у односу на ранији период</w:t>
      </w:r>
      <w:r w:rsidR="009B2C78" w:rsidRPr="009254FB">
        <w:rPr>
          <w:rFonts w:asciiTheme="majorHAnsi" w:hAnsiTheme="majorHAnsi"/>
          <w:szCs w:val="20"/>
        </w:rPr>
        <w:t xml:space="preserve">. </w:t>
      </w:r>
      <w:r w:rsidRPr="009254FB">
        <w:rPr>
          <w:rFonts w:asciiTheme="majorHAnsi" w:hAnsiTheme="majorHAnsi"/>
          <w:szCs w:val="20"/>
          <w:lang w:val="sr-Cyrl-RS"/>
        </w:rPr>
        <w:t xml:space="preserve">У последњих </w:t>
      </w:r>
      <w:r w:rsidR="009B2C78" w:rsidRPr="009254FB">
        <w:rPr>
          <w:rFonts w:asciiTheme="majorHAnsi" w:hAnsiTheme="majorHAnsi"/>
          <w:szCs w:val="20"/>
        </w:rPr>
        <w:t xml:space="preserve">10 </w:t>
      </w:r>
      <w:r w:rsidRPr="009254FB">
        <w:rPr>
          <w:rFonts w:asciiTheme="majorHAnsi" w:hAnsiTheme="majorHAnsi"/>
          <w:szCs w:val="20"/>
          <w:lang w:val="sr-Cyrl-RS"/>
        </w:rPr>
        <w:t>година</w:t>
      </w:r>
      <w:r w:rsidR="009B2C78" w:rsidRPr="009254FB">
        <w:rPr>
          <w:rFonts w:asciiTheme="majorHAnsi" w:hAnsiTheme="majorHAnsi"/>
          <w:szCs w:val="20"/>
        </w:rPr>
        <w:t xml:space="preserve"> </w:t>
      </w:r>
      <w:r w:rsidRPr="009254FB">
        <w:rPr>
          <w:rFonts w:asciiTheme="majorHAnsi" w:hAnsiTheme="majorHAnsi"/>
          <w:szCs w:val="20"/>
          <w:lang w:val="sr-Cyrl-RS"/>
        </w:rPr>
        <w:t>безбедан обухват</w:t>
      </w:r>
      <w:r w:rsidR="009B2C78" w:rsidRPr="009254FB">
        <w:rPr>
          <w:rFonts w:asciiTheme="majorHAnsi" w:hAnsiTheme="majorHAnsi"/>
          <w:szCs w:val="20"/>
        </w:rPr>
        <w:t xml:space="preserve"> (</w:t>
      </w:r>
      <w:r w:rsidRPr="009254FB">
        <w:rPr>
          <w:rFonts w:asciiTheme="majorHAnsi" w:hAnsiTheme="majorHAnsi"/>
          <w:szCs w:val="20"/>
          <w:lang w:val="sr-Cyrl-RS"/>
        </w:rPr>
        <w:t>прек</w:t>
      </w:r>
      <w:r w:rsidR="009B2C78" w:rsidRPr="009254FB">
        <w:rPr>
          <w:rFonts w:asciiTheme="majorHAnsi" w:hAnsiTheme="majorHAnsi"/>
          <w:szCs w:val="20"/>
        </w:rPr>
        <w:t xml:space="preserve">o 95%) </w:t>
      </w:r>
      <w:r w:rsidRPr="009254FB">
        <w:rPr>
          <w:rFonts w:asciiTheme="majorHAnsi" w:hAnsiTheme="majorHAnsi"/>
          <w:szCs w:val="20"/>
          <w:lang w:val="sr-Cyrl-RS"/>
        </w:rPr>
        <w:t>код примоимунизације</w:t>
      </w:r>
      <w:r w:rsidR="009B2C78" w:rsidRPr="009254FB">
        <w:rPr>
          <w:rFonts w:asciiTheme="majorHAnsi" w:hAnsiTheme="majorHAnsi"/>
          <w:szCs w:val="20"/>
        </w:rPr>
        <w:t xml:space="preserve"> </w:t>
      </w:r>
      <w:r w:rsidRPr="009254FB">
        <w:rPr>
          <w:rFonts w:asciiTheme="majorHAnsi" w:hAnsiTheme="majorHAnsi"/>
          <w:szCs w:val="20"/>
          <w:lang w:val="sr-Cyrl-RS"/>
        </w:rPr>
        <w:t>достигнут је само код две врсте вакцине</w:t>
      </w:r>
      <w:r w:rsidR="009B2C78" w:rsidRPr="009254FB">
        <w:rPr>
          <w:rFonts w:asciiTheme="majorHAnsi" w:hAnsiTheme="majorHAnsi"/>
          <w:szCs w:val="20"/>
        </w:rPr>
        <w:t xml:space="preserve">, </w:t>
      </w:r>
      <w:r w:rsidRPr="009254FB">
        <w:rPr>
          <w:rFonts w:asciiTheme="majorHAnsi" w:hAnsiTheme="majorHAnsi"/>
          <w:szCs w:val="20"/>
          <w:lang w:val="sr-Cyrl-RS"/>
        </w:rPr>
        <w:t>вакцине против туберкулозе и комбиноване</w:t>
      </w:r>
      <w:r w:rsidR="009B2C78" w:rsidRPr="009254FB">
        <w:rPr>
          <w:rFonts w:asciiTheme="majorHAnsi" w:hAnsiTheme="majorHAnsi"/>
          <w:szCs w:val="20"/>
        </w:rPr>
        <w:t xml:space="preserve"> DTP/DTaP </w:t>
      </w:r>
      <w:r w:rsidRPr="009254FB">
        <w:rPr>
          <w:rFonts w:asciiTheme="majorHAnsi" w:hAnsiTheme="majorHAnsi"/>
          <w:szCs w:val="20"/>
          <w:lang w:val="sr-Cyrl-RS"/>
        </w:rPr>
        <w:t>вакцине</w:t>
      </w:r>
      <w:r w:rsidRPr="009254FB">
        <w:rPr>
          <w:rFonts w:asciiTheme="majorHAnsi" w:hAnsiTheme="majorHAnsi"/>
          <w:szCs w:val="20"/>
        </w:rPr>
        <w:t>. Koд</w:t>
      </w:r>
      <w:r w:rsidR="009B2C78" w:rsidRPr="009254FB">
        <w:rPr>
          <w:rFonts w:asciiTheme="majorHAnsi" w:hAnsiTheme="majorHAnsi"/>
          <w:szCs w:val="20"/>
        </w:rPr>
        <w:t xml:space="preserve"> </w:t>
      </w:r>
      <w:r w:rsidRPr="009254FB">
        <w:rPr>
          <w:rFonts w:asciiTheme="majorHAnsi" w:hAnsiTheme="majorHAnsi"/>
          <w:szCs w:val="20"/>
          <w:lang w:val="sr-Cyrl-RS"/>
        </w:rPr>
        <w:t>ревакцинације  једино</w:t>
      </w:r>
      <w:r w:rsidR="009B2C78" w:rsidRPr="009254FB">
        <w:rPr>
          <w:rFonts w:asciiTheme="majorHAnsi" w:hAnsiTheme="majorHAnsi"/>
          <w:szCs w:val="20"/>
        </w:rPr>
        <w:t xml:space="preserve"> </w:t>
      </w:r>
      <w:r w:rsidR="009254FB" w:rsidRPr="009254FB">
        <w:rPr>
          <w:rFonts w:asciiTheme="majorHAnsi" w:hAnsiTheme="majorHAnsi"/>
          <w:szCs w:val="20"/>
          <w:lang w:val="sr-Cyrl-RS"/>
        </w:rPr>
        <w:t xml:space="preserve"> је код вакцине</w:t>
      </w:r>
      <w:r w:rsidR="009254FB" w:rsidRPr="009254FB">
        <w:rPr>
          <w:rFonts w:asciiTheme="majorHAnsi" w:hAnsiTheme="majorHAnsi"/>
          <w:szCs w:val="20"/>
        </w:rPr>
        <w:t xml:space="preserve"> DT, koja сe даје пред упис у </w:t>
      </w:r>
      <w:r w:rsidR="009B2C78" w:rsidRPr="009254FB">
        <w:rPr>
          <w:rFonts w:asciiTheme="majorHAnsi" w:hAnsiTheme="majorHAnsi"/>
          <w:szCs w:val="20"/>
        </w:rPr>
        <w:t>I.</w:t>
      </w:r>
      <w:r w:rsidR="009254FB" w:rsidRPr="009254FB">
        <w:rPr>
          <w:rFonts w:asciiTheme="majorHAnsi" w:hAnsiTheme="majorHAnsi"/>
          <w:szCs w:val="20"/>
          <w:lang w:val="sr-Cyrl-RS"/>
        </w:rPr>
        <w:t>разред основне школе</w:t>
      </w:r>
      <w:r w:rsidR="009B2C78" w:rsidRPr="009254FB">
        <w:rPr>
          <w:rFonts w:asciiTheme="majorHAnsi" w:hAnsiTheme="majorHAnsi"/>
          <w:szCs w:val="20"/>
        </w:rPr>
        <w:t xml:space="preserve"> </w:t>
      </w:r>
      <w:r w:rsidR="009254FB" w:rsidRPr="009254FB">
        <w:rPr>
          <w:rFonts w:asciiTheme="majorHAnsi" w:hAnsiTheme="majorHAnsi"/>
          <w:szCs w:val="20"/>
          <w:lang w:val="sr-Cyrl-RS"/>
        </w:rPr>
        <w:t>у последњих</w:t>
      </w:r>
      <w:r w:rsidR="009B2C78" w:rsidRPr="009254FB">
        <w:rPr>
          <w:rFonts w:asciiTheme="majorHAnsi" w:hAnsiTheme="majorHAnsi"/>
          <w:szCs w:val="20"/>
        </w:rPr>
        <w:t xml:space="preserve"> 10 </w:t>
      </w:r>
      <w:r w:rsidR="009254FB" w:rsidRPr="009254FB">
        <w:rPr>
          <w:rFonts w:asciiTheme="majorHAnsi" w:hAnsiTheme="majorHAnsi"/>
          <w:szCs w:val="20"/>
          <w:lang w:val="sr-Cyrl-RS"/>
        </w:rPr>
        <w:t>година</w:t>
      </w:r>
      <w:r w:rsidR="009B2C78" w:rsidRPr="009254FB">
        <w:rPr>
          <w:rFonts w:asciiTheme="majorHAnsi" w:hAnsiTheme="majorHAnsi"/>
          <w:szCs w:val="20"/>
        </w:rPr>
        <w:t xml:space="preserve"> </w:t>
      </w:r>
      <w:r w:rsidR="009254FB" w:rsidRPr="009254FB">
        <w:rPr>
          <w:rFonts w:asciiTheme="majorHAnsi" w:hAnsiTheme="majorHAnsi"/>
          <w:szCs w:val="20"/>
          <w:lang w:val="sr-Cyrl-RS"/>
        </w:rPr>
        <w:t>достигнут</w:t>
      </w:r>
      <w:r w:rsidR="009B2C78" w:rsidRPr="009254FB">
        <w:rPr>
          <w:rFonts w:asciiTheme="majorHAnsi" w:hAnsiTheme="majorHAnsi"/>
          <w:szCs w:val="20"/>
        </w:rPr>
        <w:t xml:space="preserve"> o</w:t>
      </w:r>
      <w:r w:rsidR="009254FB" w:rsidRPr="009254FB">
        <w:rPr>
          <w:rFonts w:asciiTheme="majorHAnsi" w:hAnsiTheme="majorHAnsi"/>
          <w:szCs w:val="20"/>
          <w:lang w:val="sr-Cyrl-RS"/>
        </w:rPr>
        <w:t>бухват</w:t>
      </w:r>
      <w:r w:rsidR="009B2C78" w:rsidRPr="009254FB">
        <w:rPr>
          <w:rFonts w:asciiTheme="majorHAnsi" w:hAnsiTheme="majorHAnsi"/>
          <w:szCs w:val="20"/>
        </w:rPr>
        <w:t xml:space="preserve"> </w:t>
      </w:r>
      <w:r w:rsidR="009254FB" w:rsidRPr="009254FB">
        <w:rPr>
          <w:rFonts w:asciiTheme="majorHAnsi" w:hAnsiTheme="majorHAnsi"/>
          <w:szCs w:val="20"/>
          <w:lang w:val="sr-Cyrl-RS"/>
        </w:rPr>
        <w:t>преко</w:t>
      </w:r>
      <w:r w:rsidR="009B2C78" w:rsidRPr="009254FB">
        <w:rPr>
          <w:rFonts w:asciiTheme="majorHAnsi" w:hAnsiTheme="majorHAnsi"/>
          <w:szCs w:val="20"/>
        </w:rPr>
        <w:t xml:space="preserve"> 95%. </w:t>
      </w:r>
      <w:r w:rsidR="009254FB" w:rsidRPr="009254FB">
        <w:rPr>
          <w:rFonts w:asciiTheme="majorHAnsi" w:hAnsiTheme="majorHAnsi"/>
          <w:szCs w:val="20"/>
          <w:lang w:val="sr-Cyrl-RS"/>
        </w:rPr>
        <w:t xml:space="preserve"> Разлози за пад обухвата вакцинама су бројни</w:t>
      </w:r>
      <w:r w:rsidR="009254FB" w:rsidRPr="009254FB">
        <w:rPr>
          <w:rFonts w:asciiTheme="majorHAnsi" w:hAnsiTheme="majorHAnsi"/>
          <w:szCs w:val="20"/>
        </w:rPr>
        <w:t>, oд дисконтиниутета</w:t>
      </w:r>
      <w:r w:rsidR="009254FB" w:rsidRPr="009254FB">
        <w:rPr>
          <w:rFonts w:asciiTheme="majorHAnsi" w:hAnsiTheme="majorHAnsi"/>
          <w:szCs w:val="20"/>
          <w:lang w:val="sr-Cyrl-RS"/>
        </w:rPr>
        <w:t xml:space="preserve"> у испоруци вакцина</w:t>
      </w:r>
      <w:r w:rsidR="009B2C78" w:rsidRPr="009254FB">
        <w:rPr>
          <w:rFonts w:asciiTheme="majorHAnsi" w:hAnsiTheme="majorHAnsi"/>
          <w:szCs w:val="20"/>
        </w:rPr>
        <w:t xml:space="preserve">, </w:t>
      </w:r>
      <w:r w:rsidR="009254FB" w:rsidRPr="009254FB">
        <w:rPr>
          <w:rFonts w:asciiTheme="majorHAnsi" w:hAnsiTheme="majorHAnsi"/>
          <w:szCs w:val="20"/>
          <w:lang w:val="sr-Cyrl-RS"/>
        </w:rPr>
        <w:t>негативне кампање у средствима масовних медија</w:t>
      </w:r>
      <w:r w:rsidR="009B2C78" w:rsidRPr="009254FB">
        <w:rPr>
          <w:rFonts w:asciiTheme="majorHAnsi" w:hAnsiTheme="majorHAnsi"/>
          <w:szCs w:val="20"/>
        </w:rPr>
        <w:t xml:space="preserve">, </w:t>
      </w:r>
      <w:r w:rsidR="009254FB" w:rsidRPr="009254FB">
        <w:rPr>
          <w:rFonts w:asciiTheme="majorHAnsi" w:hAnsiTheme="majorHAnsi"/>
          <w:szCs w:val="20"/>
          <w:lang w:val="sr-Cyrl-RS"/>
        </w:rPr>
        <w:t>широко постављених контраиндикација као и због измене законских прописа</w:t>
      </w:r>
      <w:r w:rsidR="009B2C78" w:rsidRPr="009254FB">
        <w:rPr>
          <w:rFonts w:asciiTheme="majorHAnsi" w:hAnsiTheme="majorHAnsi"/>
          <w:szCs w:val="20"/>
        </w:rPr>
        <w:t xml:space="preserve">. </w:t>
      </w:r>
      <w:r w:rsidR="009254FB" w:rsidRPr="009254FB">
        <w:rPr>
          <w:rFonts w:asciiTheme="majorHAnsi" w:hAnsiTheme="majorHAnsi"/>
          <w:szCs w:val="20"/>
          <w:lang w:val="sr-Cyrl-RS"/>
        </w:rPr>
        <w:t>Све ово резултирало је епидемијском појавом</w:t>
      </w:r>
      <w:r w:rsidR="009B2C78" w:rsidRPr="009254FB">
        <w:rPr>
          <w:rFonts w:asciiTheme="majorHAnsi" w:hAnsiTheme="majorHAnsi"/>
          <w:szCs w:val="20"/>
        </w:rPr>
        <w:t xml:space="preserve"> </w:t>
      </w:r>
      <w:r w:rsidR="009254FB" w:rsidRPr="009254FB">
        <w:rPr>
          <w:rFonts w:asciiTheme="majorHAnsi" w:hAnsiTheme="majorHAnsi"/>
          <w:szCs w:val="20"/>
          <w:lang w:val="sr-Cyrl-RS"/>
        </w:rPr>
        <w:t>малих богиња</w:t>
      </w:r>
      <w:r w:rsidR="009254FB" w:rsidRPr="009254FB">
        <w:rPr>
          <w:rFonts w:asciiTheme="majorHAnsi" w:hAnsiTheme="majorHAnsi"/>
          <w:szCs w:val="20"/>
        </w:rPr>
        <w:t xml:space="preserve"> на територији Србије крајем </w:t>
      </w:r>
      <w:r w:rsidR="009B2C78" w:rsidRPr="009254FB">
        <w:rPr>
          <w:rFonts w:asciiTheme="majorHAnsi" w:hAnsiTheme="majorHAnsi"/>
          <w:szCs w:val="20"/>
        </w:rPr>
        <w:t xml:space="preserve">2017. </w:t>
      </w:r>
      <w:r w:rsidR="009254FB" w:rsidRPr="009254FB">
        <w:rPr>
          <w:rFonts w:asciiTheme="majorHAnsi" w:hAnsiTheme="majorHAnsi"/>
          <w:szCs w:val="20"/>
          <w:lang w:val="sr-Cyrl-RS"/>
        </w:rPr>
        <w:t>Године која се прелила на територију АП Војводине а у којој је оболело</w:t>
      </w:r>
      <w:r w:rsidR="009B2C78" w:rsidRPr="009254FB">
        <w:rPr>
          <w:rFonts w:asciiTheme="majorHAnsi" w:hAnsiTheme="majorHAnsi"/>
          <w:szCs w:val="20"/>
        </w:rPr>
        <w:t xml:space="preserve"> 322 </w:t>
      </w:r>
      <w:r w:rsidR="009254FB" w:rsidRPr="009254FB">
        <w:rPr>
          <w:rFonts w:asciiTheme="majorHAnsi" w:hAnsiTheme="majorHAnsi"/>
          <w:szCs w:val="20"/>
          <w:lang w:val="sr-Cyrl-RS"/>
        </w:rPr>
        <w:t>особе, без смртног исхода</w:t>
      </w:r>
      <w:r w:rsidR="009B2C78" w:rsidRPr="009254FB">
        <w:rPr>
          <w:rFonts w:asciiTheme="majorHAnsi" w:hAnsiTheme="majorHAnsi"/>
          <w:szCs w:val="20"/>
        </w:rPr>
        <w:t>.</w:t>
      </w:r>
    </w:p>
    <w:p w:rsidR="009B2C78" w:rsidRDefault="009B2C78" w:rsidP="009B2C78">
      <w:pPr>
        <w:spacing w:line="360" w:lineRule="auto"/>
        <w:rPr>
          <w:rFonts w:asciiTheme="majorHAnsi" w:hAnsiTheme="majorHAnsi"/>
          <w:szCs w:val="20"/>
        </w:rPr>
      </w:pPr>
    </w:p>
    <w:p w:rsidR="009B2C78" w:rsidRDefault="009B2C78" w:rsidP="009B2C78">
      <w:pPr>
        <w:spacing w:line="360" w:lineRule="auto"/>
        <w:rPr>
          <w:rFonts w:asciiTheme="majorHAnsi" w:hAnsiTheme="majorHAnsi"/>
          <w:szCs w:val="20"/>
        </w:rPr>
      </w:pPr>
    </w:p>
    <w:p w:rsidR="009B2C78" w:rsidRDefault="009B2C78" w:rsidP="009B2C78">
      <w:pPr>
        <w:spacing w:line="360" w:lineRule="auto"/>
        <w:rPr>
          <w:rFonts w:asciiTheme="majorHAnsi" w:hAnsiTheme="majorHAnsi"/>
          <w:szCs w:val="20"/>
        </w:rPr>
      </w:pPr>
    </w:p>
    <w:p w:rsidR="009B2C78" w:rsidRDefault="009B2C78" w:rsidP="009B2C78">
      <w:pPr>
        <w:spacing w:line="360" w:lineRule="auto"/>
        <w:rPr>
          <w:rFonts w:asciiTheme="majorHAnsi" w:hAnsiTheme="majorHAnsi"/>
          <w:szCs w:val="20"/>
        </w:rPr>
      </w:pPr>
    </w:p>
    <w:p w:rsidR="009B2C78" w:rsidRDefault="009B2C78" w:rsidP="009B2C78">
      <w:pPr>
        <w:spacing w:line="360" w:lineRule="auto"/>
        <w:rPr>
          <w:rFonts w:asciiTheme="majorHAnsi" w:hAnsiTheme="majorHAnsi"/>
          <w:szCs w:val="20"/>
        </w:rPr>
      </w:pPr>
    </w:p>
    <w:p w:rsidR="009B2C78" w:rsidRPr="009B2C78" w:rsidRDefault="009B2C78" w:rsidP="009B2C78">
      <w:pPr>
        <w:spacing w:line="360" w:lineRule="auto"/>
        <w:rPr>
          <w:rFonts w:asciiTheme="majorHAnsi" w:hAnsiTheme="majorHAnsi"/>
          <w:color w:val="FF0000"/>
          <w:szCs w:val="20"/>
        </w:rPr>
      </w:pPr>
    </w:p>
    <w:p w:rsidR="00015B9F" w:rsidRPr="008C2630" w:rsidRDefault="009B2C78" w:rsidP="00015B9F">
      <w:pPr>
        <w:spacing w:line="360" w:lineRule="auto"/>
        <w:rPr>
          <w:rFonts w:asciiTheme="majorHAnsi" w:hAnsiTheme="majorHAnsi"/>
          <w:b/>
          <w:color w:val="2683C6" w:themeColor="accent6"/>
          <w:sz w:val="18"/>
          <w:szCs w:val="18"/>
          <w:lang w:val="sr-Cyrl-RS"/>
        </w:rPr>
      </w:pPr>
      <w:r w:rsidRPr="002701CF">
        <w:rPr>
          <w:rFonts w:asciiTheme="majorHAnsi" w:hAnsiTheme="majorHAnsi"/>
          <w:b/>
          <w:color w:val="2683C6" w:themeColor="accent6"/>
          <w:sz w:val="18"/>
          <w:szCs w:val="18"/>
        </w:rPr>
        <w:t>Табела 3</w:t>
      </w:r>
      <w:r w:rsidR="00015B9F" w:rsidRPr="002701CF">
        <w:rPr>
          <w:rFonts w:asciiTheme="majorHAnsi" w:hAnsiTheme="majorHAnsi"/>
          <w:b/>
          <w:color w:val="2683C6" w:themeColor="accent6"/>
          <w:sz w:val="18"/>
          <w:szCs w:val="18"/>
        </w:rPr>
        <w:t xml:space="preserve">. Обухват вакцинама по врстама у Војводини </w:t>
      </w:r>
      <w:r w:rsidR="008C2630">
        <w:rPr>
          <w:rFonts w:asciiTheme="majorHAnsi" w:hAnsiTheme="majorHAnsi"/>
          <w:b/>
          <w:color w:val="2683C6" w:themeColor="accent6"/>
          <w:sz w:val="18"/>
          <w:szCs w:val="18"/>
          <w:lang w:val="sr-Cyrl-RS"/>
        </w:rPr>
        <w:t>у периоду 2008-2017. година</w:t>
      </w:r>
    </w:p>
    <w:tbl>
      <w:tblPr>
        <w:tblStyle w:val="ListTable21"/>
        <w:tblW w:w="9727" w:type="dxa"/>
        <w:tblLook w:val="04A0" w:firstRow="1" w:lastRow="0" w:firstColumn="1" w:lastColumn="0" w:noHBand="0" w:noVBand="1"/>
      </w:tblPr>
      <w:tblGrid>
        <w:gridCol w:w="1400"/>
        <w:gridCol w:w="665"/>
        <w:gridCol w:w="704"/>
        <w:gridCol w:w="704"/>
        <w:gridCol w:w="704"/>
        <w:gridCol w:w="704"/>
        <w:gridCol w:w="704"/>
        <w:gridCol w:w="704"/>
        <w:gridCol w:w="704"/>
        <w:gridCol w:w="704"/>
        <w:gridCol w:w="704"/>
        <w:gridCol w:w="665"/>
        <w:gridCol w:w="665"/>
      </w:tblGrid>
      <w:tr w:rsidR="00015B9F" w:rsidRPr="00015B9F" w:rsidTr="00015B9F">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400" w:type="dxa"/>
            <w:noWrap/>
            <w:hideMark/>
          </w:tcPr>
          <w:p w:rsidR="00015B9F" w:rsidRPr="00015B9F" w:rsidRDefault="00015B9F" w:rsidP="00015B9F">
            <w:pPr>
              <w:spacing w:line="360" w:lineRule="auto"/>
              <w:rPr>
                <w:rFonts w:asciiTheme="majorHAnsi" w:eastAsia="Times New Roman" w:hAnsiTheme="majorHAnsi"/>
                <w:color w:val="000000"/>
              </w:rPr>
            </w:pPr>
            <w:r w:rsidRPr="00015B9F">
              <w:rPr>
                <w:rFonts w:asciiTheme="majorHAnsi" w:eastAsia="Times New Roman" w:hAnsiTheme="majorHAnsi"/>
                <w:color w:val="000000"/>
              </w:rPr>
              <w:t> </w:t>
            </w:r>
          </w:p>
        </w:tc>
        <w:tc>
          <w:tcPr>
            <w:tcW w:w="583" w:type="dxa"/>
            <w:noWrap/>
            <w:hideMark/>
          </w:tcPr>
          <w:p w:rsidR="00015B9F" w:rsidRPr="00015B9F" w:rsidRDefault="00015B9F" w:rsidP="00015B9F">
            <w:pPr>
              <w:spacing w:line="360" w:lineRule="auto"/>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val="0"/>
                <w:color w:val="000000"/>
              </w:rPr>
            </w:pPr>
            <w:r w:rsidRPr="00015B9F">
              <w:rPr>
                <w:rFonts w:asciiTheme="majorHAnsi" w:eastAsia="Times New Roman" w:hAnsiTheme="majorHAnsi"/>
                <w:color w:val="000000"/>
              </w:rPr>
              <w:t>2006</w:t>
            </w:r>
          </w:p>
        </w:tc>
        <w:tc>
          <w:tcPr>
            <w:tcW w:w="704" w:type="dxa"/>
            <w:noWrap/>
            <w:hideMark/>
          </w:tcPr>
          <w:p w:rsidR="00015B9F" w:rsidRPr="00015B9F" w:rsidRDefault="00015B9F" w:rsidP="00015B9F">
            <w:pPr>
              <w:spacing w:line="360" w:lineRule="auto"/>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val="0"/>
                <w:color w:val="000000"/>
              </w:rPr>
            </w:pPr>
            <w:r w:rsidRPr="00015B9F">
              <w:rPr>
                <w:rFonts w:asciiTheme="majorHAnsi" w:eastAsia="Times New Roman" w:hAnsiTheme="majorHAnsi"/>
                <w:color w:val="000000"/>
              </w:rPr>
              <w:t>2007</w:t>
            </w:r>
          </w:p>
        </w:tc>
        <w:tc>
          <w:tcPr>
            <w:tcW w:w="704" w:type="dxa"/>
            <w:noWrap/>
            <w:hideMark/>
          </w:tcPr>
          <w:p w:rsidR="00015B9F" w:rsidRPr="00015B9F" w:rsidRDefault="00015B9F" w:rsidP="00015B9F">
            <w:pPr>
              <w:spacing w:line="360" w:lineRule="auto"/>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val="0"/>
                <w:color w:val="000000"/>
              </w:rPr>
            </w:pPr>
            <w:r w:rsidRPr="00015B9F">
              <w:rPr>
                <w:rFonts w:asciiTheme="majorHAnsi" w:eastAsia="Times New Roman" w:hAnsiTheme="majorHAnsi"/>
                <w:color w:val="000000"/>
              </w:rPr>
              <w:t>2008</w:t>
            </w:r>
          </w:p>
        </w:tc>
        <w:tc>
          <w:tcPr>
            <w:tcW w:w="704" w:type="dxa"/>
            <w:noWrap/>
            <w:hideMark/>
          </w:tcPr>
          <w:p w:rsidR="00015B9F" w:rsidRPr="00015B9F" w:rsidRDefault="00015B9F" w:rsidP="00015B9F">
            <w:pPr>
              <w:spacing w:line="360" w:lineRule="auto"/>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val="0"/>
                <w:color w:val="000000"/>
              </w:rPr>
            </w:pPr>
            <w:r w:rsidRPr="00015B9F">
              <w:rPr>
                <w:rFonts w:asciiTheme="majorHAnsi" w:eastAsia="Times New Roman" w:hAnsiTheme="majorHAnsi"/>
                <w:color w:val="000000"/>
              </w:rPr>
              <w:t>2009</w:t>
            </w:r>
          </w:p>
        </w:tc>
        <w:tc>
          <w:tcPr>
            <w:tcW w:w="704" w:type="dxa"/>
            <w:noWrap/>
            <w:hideMark/>
          </w:tcPr>
          <w:p w:rsidR="00015B9F" w:rsidRPr="00015B9F" w:rsidRDefault="00015B9F" w:rsidP="00015B9F">
            <w:pPr>
              <w:spacing w:line="360" w:lineRule="auto"/>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val="0"/>
                <w:color w:val="000000"/>
              </w:rPr>
            </w:pPr>
            <w:r w:rsidRPr="00015B9F">
              <w:rPr>
                <w:rFonts w:asciiTheme="majorHAnsi" w:eastAsia="Times New Roman" w:hAnsiTheme="majorHAnsi"/>
                <w:color w:val="000000"/>
              </w:rPr>
              <w:t>2010</w:t>
            </w:r>
          </w:p>
        </w:tc>
        <w:tc>
          <w:tcPr>
            <w:tcW w:w="704" w:type="dxa"/>
            <w:noWrap/>
            <w:hideMark/>
          </w:tcPr>
          <w:p w:rsidR="00015B9F" w:rsidRPr="00015B9F" w:rsidRDefault="00015B9F" w:rsidP="00015B9F">
            <w:pPr>
              <w:spacing w:line="360" w:lineRule="auto"/>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val="0"/>
                <w:color w:val="000000"/>
              </w:rPr>
            </w:pPr>
            <w:r w:rsidRPr="00015B9F">
              <w:rPr>
                <w:rFonts w:asciiTheme="majorHAnsi" w:eastAsia="Times New Roman" w:hAnsiTheme="majorHAnsi"/>
                <w:color w:val="000000"/>
              </w:rPr>
              <w:t>2011</w:t>
            </w:r>
          </w:p>
        </w:tc>
        <w:tc>
          <w:tcPr>
            <w:tcW w:w="704" w:type="dxa"/>
            <w:noWrap/>
            <w:hideMark/>
          </w:tcPr>
          <w:p w:rsidR="00015B9F" w:rsidRPr="00015B9F" w:rsidRDefault="00015B9F" w:rsidP="00015B9F">
            <w:pPr>
              <w:spacing w:line="360" w:lineRule="auto"/>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val="0"/>
                <w:color w:val="000000"/>
              </w:rPr>
            </w:pPr>
            <w:r w:rsidRPr="00015B9F">
              <w:rPr>
                <w:rFonts w:asciiTheme="majorHAnsi" w:eastAsia="Times New Roman" w:hAnsiTheme="majorHAnsi"/>
                <w:color w:val="000000"/>
              </w:rPr>
              <w:t>2012</w:t>
            </w:r>
          </w:p>
        </w:tc>
        <w:tc>
          <w:tcPr>
            <w:tcW w:w="704" w:type="dxa"/>
            <w:noWrap/>
            <w:hideMark/>
          </w:tcPr>
          <w:p w:rsidR="00015B9F" w:rsidRPr="00015B9F" w:rsidRDefault="00015B9F" w:rsidP="00015B9F">
            <w:pPr>
              <w:spacing w:line="360" w:lineRule="auto"/>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val="0"/>
                <w:color w:val="000000"/>
              </w:rPr>
            </w:pPr>
            <w:r w:rsidRPr="00015B9F">
              <w:rPr>
                <w:rFonts w:asciiTheme="majorHAnsi" w:eastAsia="Times New Roman" w:hAnsiTheme="majorHAnsi"/>
                <w:color w:val="000000"/>
              </w:rPr>
              <w:t>2013</w:t>
            </w:r>
          </w:p>
        </w:tc>
        <w:tc>
          <w:tcPr>
            <w:tcW w:w="704" w:type="dxa"/>
            <w:noWrap/>
            <w:hideMark/>
          </w:tcPr>
          <w:p w:rsidR="00015B9F" w:rsidRPr="00015B9F" w:rsidRDefault="00015B9F" w:rsidP="00015B9F">
            <w:pPr>
              <w:spacing w:line="360" w:lineRule="auto"/>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val="0"/>
                <w:color w:val="000000"/>
              </w:rPr>
            </w:pPr>
            <w:r w:rsidRPr="00015B9F">
              <w:rPr>
                <w:rFonts w:asciiTheme="majorHAnsi" w:eastAsia="Times New Roman" w:hAnsiTheme="majorHAnsi"/>
                <w:color w:val="000000"/>
              </w:rPr>
              <w:t>2014</w:t>
            </w:r>
          </w:p>
        </w:tc>
        <w:tc>
          <w:tcPr>
            <w:tcW w:w="704" w:type="dxa"/>
            <w:noWrap/>
            <w:hideMark/>
          </w:tcPr>
          <w:p w:rsidR="00015B9F" w:rsidRPr="00015B9F" w:rsidRDefault="00015B9F" w:rsidP="00015B9F">
            <w:pPr>
              <w:spacing w:line="360" w:lineRule="auto"/>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b w:val="0"/>
                <w:bCs w:val="0"/>
                <w:color w:val="000000"/>
              </w:rPr>
            </w:pPr>
            <w:r w:rsidRPr="00015B9F">
              <w:rPr>
                <w:rFonts w:asciiTheme="majorHAnsi" w:eastAsia="Times New Roman" w:hAnsiTheme="majorHAnsi"/>
                <w:color w:val="000000"/>
              </w:rPr>
              <w:t>2015</w:t>
            </w:r>
          </w:p>
        </w:tc>
        <w:tc>
          <w:tcPr>
            <w:tcW w:w="704" w:type="dxa"/>
          </w:tcPr>
          <w:p w:rsidR="00015B9F" w:rsidRPr="00015B9F" w:rsidRDefault="00015B9F" w:rsidP="00015B9F">
            <w:pPr>
              <w:spacing w:line="360" w:lineRule="auto"/>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2016</w:t>
            </w:r>
          </w:p>
        </w:tc>
        <w:tc>
          <w:tcPr>
            <w:tcW w:w="704" w:type="dxa"/>
          </w:tcPr>
          <w:p w:rsidR="00015B9F" w:rsidRPr="00015B9F" w:rsidRDefault="00015B9F" w:rsidP="00015B9F">
            <w:pPr>
              <w:spacing w:line="360" w:lineRule="auto"/>
              <w:jc w:val="right"/>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2017</w:t>
            </w:r>
          </w:p>
        </w:tc>
      </w:tr>
      <w:tr w:rsidR="00015B9F" w:rsidRPr="00015B9F" w:rsidTr="00015B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400" w:type="dxa"/>
            <w:noWrap/>
            <w:hideMark/>
          </w:tcPr>
          <w:p w:rsidR="00015B9F" w:rsidRPr="00015B9F" w:rsidRDefault="00015B9F" w:rsidP="00015B9F">
            <w:pPr>
              <w:spacing w:line="360" w:lineRule="auto"/>
              <w:rPr>
                <w:rFonts w:asciiTheme="majorHAnsi" w:eastAsia="Times New Roman" w:hAnsiTheme="majorHAnsi"/>
                <w:color w:val="000000"/>
              </w:rPr>
            </w:pPr>
            <w:r w:rsidRPr="00015B9F">
              <w:rPr>
                <w:rFonts w:asciiTheme="majorHAnsi" w:eastAsia="Times New Roman" w:hAnsiTheme="majorHAnsi"/>
                <w:color w:val="000000"/>
              </w:rPr>
              <w:t>ДТП/ДТаП</w:t>
            </w:r>
          </w:p>
        </w:tc>
        <w:tc>
          <w:tcPr>
            <w:tcW w:w="583"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95</w:t>
            </w:r>
          </w:p>
        </w:tc>
      </w:tr>
      <w:tr w:rsidR="00015B9F" w:rsidRPr="00015B9F" w:rsidTr="00015B9F">
        <w:trPr>
          <w:trHeight w:val="282"/>
        </w:trPr>
        <w:tc>
          <w:tcPr>
            <w:cnfStyle w:val="001000000000" w:firstRow="0" w:lastRow="0" w:firstColumn="1" w:lastColumn="0" w:oddVBand="0" w:evenVBand="0" w:oddHBand="0" w:evenHBand="0" w:firstRowFirstColumn="0" w:firstRowLastColumn="0" w:lastRowFirstColumn="0" w:lastRowLastColumn="0"/>
            <w:tcW w:w="1400" w:type="dxa"/>
            <w:noWrap/>
            <w:hideMark/>
          </w:tcPr>
          <w:p w:rsidR="00015B9F" w:rsidRPr="00015B9F" w:rsidRDefault="00015B9F" w:rsidP="00015B9F">
            <w:pPr>
              <w:spacing w:line="360" w:lineRule="auto"/>
              <w:rPr>
                <w:rFonts w:asciiTheme="majorHAnsi" w:eastAsia="Times New Roman" w:hAnsiTheme="majorHAnsi"/>
                <w:color w:val="000000"/>
              </w:rPr>
            </w:pPr>
            <w:r w:rsidRPr="00015B9F">
              <w:rPr>
                <w:rFonts w:asciiTheme="majorHAnsi" w:eastAsia="Times New Roman" w:hAnsiTheme="majorHAnsi"/>
                <w:color w:val="000000"/>
              </w:rPr>
              <w:t>Полио в.</w:t>
            </w:r>
          </w:p>
        </w:tc>
        <w:tc>
          <w:tcPr>
            <w:tcW w:w="583"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94</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95</w:t>
            </w:r>
          </w:p>
        </w:tc>
      </w:tr>
      <w:tr w:rsidR="00015B9F" w:rsidRPr="00015B9F" w:rsidTr="00015B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400" w:type="dxa"/>
            <w:noWrap/>
            <w:hideMark/>
          </w:tcPr>
          <w:p w:rsidR="00015B9F" w:rsidRPr="00015B9F" w:rsidRDefault="00015B9F" w:rsidP="00015B9F">
            <w:pPr>
              <w:spacing w:line="360" w:lineRule="auto"/>
              <w:rPr>
                <w:rFonts w:asciiTheme="majorHAnsi" w:eastAsia="Times New Roman" w:hAnsiTheme="majorHAnsi"/>
                <w:color w:val="000000"/>
              </w:rPr>
            </w:pPr>
            <w:r w:rsidRPr="00015B9F">
              <w:rPr>
                <w:rFonts w:asciiTheme="majorHAnsi" w:eastAsia="Times New Roman" w:hAnsiTheme="majorHAnsi"/>
                <w:color w:val="000000"/>
              </w:rPr>
              <w:t>БЦГ</w:t>
            </w:r>
          </w:p>
        </w:tc>
        <w:tc>
          <w:tcPr>
            <w:tcW w:w="583"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100</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100</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100</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100</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100</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99</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99</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99</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99</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99</w:t>
            </w:r>
          </w:p>
        </w:tc>
        <w:tc>
          <w:tcPr>
            <w:tcW w:w="704" w:type="dxa"/>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r>
      <w:tr w:rsidR="00015B9F" w:rsidRPr="00015B9F" w:rsidTr="00015B9F">
        <w:trPr>
          <w:trHeight w:val="282"/>
        </w:trPr>
        <w:tc>
          <w:tcPr>
            <w:cnfStyle w:val="001000000000" w:firstRow="0" w:lastRow="0" w:firstColumn="1" w:lastColumn="0" w:oddVBand="0" w:evenVBand="0" w:oddHBand="0" w:evenHBand="0" w:firstRowFirstColumn="0" w:firstRowLastColumn="0" w:lastRowFirstColumn="0" w:lastRowLastColumn="0"/>
            <w:tcW w:w="1400" w:type="dxa"/>
            <w:noWrap/>
            <w:hideMark/>
          </w:tcPr>
          <w:p w:rsidR="00015B9F" w:rsidRPr="00015B9F" w:rsidRDefault="00015B9F" w:rsidP="00015B9F">
            <w:pPr>
              <w:spacing w:line="360" w:lineRule="auto"/>
              <w:rPr>
                <w:rFonts w:asciiTheme="majorHAnsi" w:eastAsia="Times New Roman" w:hAnsiTheme="majorHAnsi"/>
                <w:color w:val="000000"/>
              </w:rPr>
            </w:pPr>
            <w:r w:rsidRPr="00015B9F">
              <w:rPr>
                <w:rFonts w:asciiTheme="majorHAnsi" w:eastAsia="Times New Roman" w:hAnsiTheme="majorHAnsi"/>
                <w:color w:val="000000"/>
              </w:rPr>
              <w:t>ММР 1</w:t>
            </w:r>
          </w:p>
        </w:tc>
        <w:tc>
          <w:tcPr>
            <w:tcW w:w="583"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91</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90</w:t>
            </w:r>
          </w:p>
        </w:tc>
        <w:tc>
          <w:tcPr>
            <w:tcW w:w="704" w:type="dxa"/>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89</w:t>
            </w:r>
          </w:p>
        </w:tc>
        <w:tc>
          <w:tcPr>
            <w:tcW w:w="704" w:type="dxa"/>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78</w:t>
            </w:r>
          </w:p>
        </w:tc>
      </w:tr>
      <w:tr w:rsidR="00015B9F" w:rsidRPr="00015B9F" w:rsidTr="00015B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400" w:type="dxa"/>
            <w:noWrap/>
            <w:hideMark/>
          </w:tcPr>
          <w:p w:rsidR="00015B9F" w:rsidRPr="00015B9F" w:rsidRDefault="00015B9F" w:rsidP="00015B9F">
            <w:pPr>
              <w:spacing w:line="360" w:lineRule="auto"/>
              <w:rPr>
                <w:rFonts w:asciiTheme="majorHAnsi" w:eastAsia="Times New Roman" w:hAnsiTheme="majorHAnsi"/>
                <w:color w:val="000000"/>
              </w:rPr>
            </w:pPr>
            <w:r w:rsidRPr="00015B9F">
              <w:rPr>
                <w:rFonts w:asciiTheme="majorHAnsi" w:eastAsia="Times New Roman" w:hAnsiTheme="majorHAnsi"/>
                <w:color w:val="000000"/>
              </w:rPr>
              <w:t>ХиБ</w:t>
            </w:r>
          </w:p>
        </w:tc>
        <w:tc>
          <w:tcPr>
            <w:tcW w:w="583"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49</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89</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95</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94</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95</w:t>
            </w:r>
          </w:p>
        </w:tc>
      </w:tr>
      <w:tr w:rsidR="00015B9F" w:rsidRPr="00015B9F" w:rsidTr="00015B9F">
        <w:trPr>
          <w:trHeight w:val="282"/>
        </w:trPr>
        <w:tc>
          <w:tcPr>
            <w:cnfStyle w:val="001000000000" w:firstRow="0" w:lastRow="0" w:firstColumn="1" w:lastColumn="0" w:oddVBand="0" w:evenVBand="0" w:oddHBand="0" w:evenHBand="0" w:firstRowFirstColumn="0" w:firstRowLastColumn="0" w:lastRowFirstColumn="0" w:lastRowLastColumn="0"/>
            <w:tcW w:w="1400" w:type="dxa"/>
            <w:noWrap/>
            <w:hideMark/>
          </w:tcPr>
          <w:p w:rsidR="00015B9F" w:rsidRPr="00015B9F" w:rsidRDefault="00015B9F" w:rsidP="00015B9F">
            <w:pPr>
              <w:spacing w:line="360" w:lineRule="auto"/>
              <w:rPr>
                <w:rFonts w:asciiTheme="majorHAnsi" w:eastAsia="Times New Roman" w:hAnsiTheme="majorHAnsi"/>
                <w:color w:val="000000"/>
              </w:rPr>
            </w:pPr>
            <w:r w:rsidRPr="00015B9F">
              <w:rPr>
                <w:rFonts w:asciiTheme="majorHAnsi" w:eastAsia="Times New Roman" w:hAnsiTheme="majorHAnsi"/>
                <w:color w:val="000000"/>
              </w:rPr>
              <w:t>ВХБ 1г</w:t>
            </w:r>
          </w:p>
        </w:tc>
        <w:tc>
          <w:tcPr>
            <w:tcW w:w="583"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93</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95</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94</w:t>
            </w:r>
          </w:p>
        </w:tc>
        <w:tc>
          <w:tcPr>
            <w:tcW w:w="704" w:type="dxa"/>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94</w:t>
            </w:r>
          </w:p>
        </w:tc>
        <w:tc>
          <w:tcPr>
            <w:tcW w:w="704" w:type="dxa"/>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95</w:t>
            </w:r>
          </w:p>
        </w:tc>
      </w:tr>
      <w:tr w:rsidR="00015B9F" w:rsidRPr="00015B9F" w:rsidTr="00015B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400" w:type="dxa"/>
            <w:noWrap/>
            <w:hideMark/>
          </w:tcPr>
          <w:p w:rsidR="00015B9F" w:rsidRPr="00015B9F" w:rsidRDefault="00015B9F" w:rsidP="00015B9F">
            <w:pPr>
              <w:spacing w:line="360" w:lineRule="auto"/>
              <w:rPr>
                <w:rFonts w:asciiTheme="majorHAnsi" w:eastAsia="Times New Roman" w:hAnsiTheme="majorHAnsi"/>
                <w:color w:val="000000"/>
              </w:rPr>
            </w:pPr>
            <w:r w:rsidRPr="00015B9F">
              <w:rPr>
                <w:rFonts w:asciiTheme="majorHAnsi" w:eastAsia="Times New Roman" w:hAnsiTheme="majorHAnsi"/>
                <w:color w:val="000000"/>
              </w:rPr>
              <w:t>ВХБ 12.г</w:t>
            </w:r>
          </w:p>
        </w:tc>
        <w:tc>
          <w:tcPr>
            <w:tcW w:w="583"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55</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92</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83</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93</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79</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90</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70</w:t>
            </w:r>
          </w:p>
        </w:tc>
        <w:tc>
          <w:tcPr>
            <w:tcW w:w="704" w:type="dxa"/>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56</w:t>
            </w:r>
          </w:p>
        </w:tc>
        <w:tc>
          <w:tcPr>
            <w:tcW w:w="704" w:type="dxa"/>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70</w:t>
            </w:r>
          </w:p>
        </w:tc>
      </w:tr>
      <w:tr w:rsidR="00015B9F" w:rsidRPr="00015B9F" w:rsidTr="00015B9F">
        <w:trPr>
          <w:trHeight w:val="282"/>
        </w:trPr>
        <w:tc>
          <w:tcPr>
            <w:cnfStyle w:val="001000000000" w:firstRow="0" w:lastRow="0" w:firstColumn="1" w:lastColumn="0" w:oddVBand="0" w:evenVBand="0" w:oddHBand="0" w:evenHBand="0" w:firstRowFirstColumn="0" w:firstRowLastColumn="0" w:lastRowFirstColumn="0" w:lastRowLastColumn="0"/>
            <w:tcW w:w="1400" w:type="dxa"/>
            <w:noWrap/>
            <w:hideMark/>
          </w:tcPr>
          <w:p w:rsidR="00015B9F" w:rsidRPr="00015B9F" w:rsidRDefault="00015B9F" w:rsidP="00015B9F">
            <w:pPr>
              <w:spacing w:line="360" w:lineRule="auto"/>
              <w:rPr>
                <w:rFonts w:asciiTheme="majorHAnsi" w:eastAsia="Times New Roman" w:hAnsiTheme="majorHAnsi"/>
                <w:color w:val="000000"/>
              </w:rPr>
            </w:pPr>
            <w:r w:rsidRPr="00015B9F">
              <w:rPr>
                <w:rFonts w:asciiTheme="majorHAnsi" w:eastAsia="Times New Roman" w:hAnsiTheme="majorHAnsi"/>
                <w:color w:val="000000"/>
              </w:rPr>
              <w:t>ДТП рв1</w:t>
            </w:r>
          </w:p>
        </w:tc>
        <w:tc>
          <w:tcPr>
            <w:tcW w:w="583"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95</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93</w:t>
            </w:r>
          </w:p>
        </w:tc>
        <w:tc>
          <w:tcPr>
            <w:tcW w:w="704" w:type="dxa"/>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89</w:t>
            </w:r>
          </w:p>
        </w:tc>
        <w:tc>
          <w:tcPr>
            <w:tcW w:w="704" w:type="dxa"/>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91</w:t>
            </w:r>
          </w:p>
        </w:tc>
      </w:tr>
      <w:tr w:rsidR="00015B9F" w:rsidRPr="00015B9F" w:rsidTr="00015B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400" w:type="dxa"/>
            <w:noWrap/>
            <w:hideMark/>
          </w:tcPr>
          <w:p w:rsidR="00015B9F" w:rsidRPr="00015B9F" w:rsidRDefault="00015B9F" w:rsidP="00015B9F">
            <w:pPr>
              <w:spacing w:line="360" w:lineRule="auto"/>
              <w:rPr>
                <w:rFonts w:asciiTheme="majorHAnsi" w:eastAsia="Times New Roman" w:hAnsiTheme="majorHAnsi"/>
                <w:color w:val="000000"/>
              </w:rPr>
            </w:pPr>
            <w:r w:rsidRPr="00015B9F">
              <w:rPr>
                <w:rFonts w:asciiTheme="majorHAnsi" w:eastAsia="Times New Roman" w:hAnsiTheme="majorHAnsi"/>
                <w:color w:val="000000"/>
              </w:rPr>
              <w:t>ДТ</w:t>
            </w:r>
          </w:p>
        </w:tc>
        <w:tc>
          <w:tcPr>
            <w:tcW w:w="583"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99</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99</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95</w:t>
            </w:r>
          </w:p>
        </w:tc>
        <w:tc>
          <w:tcPr>
            <w:tcW w:w="704" w:type="dxa"/>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r>
      <w:tr w:rsidR="00015B9F" w:rsidRPr="00015B9F" w:rsidTr="00015B9F">
        <w:trPr>
          <w:trHeight w:val="282"/>
        </w:trPr>
        <w:tc>
          <w:tcPr>
            <w:cnfStyle w:val="001000000000" w:firstRow="0" w:lastRow="0" w:firstColumn="1" w:lastColumn="0" w:oddVBand="0" w:evenVBand="0" w:oddHBand="0" w:evenHBand="0" w:firstRowFirstColumn="0" w:firstRowLastColumn="0" w:lastRowFirstColumn="0" w:lastRowLastColumn="0"/>
            <w:tcW w:w="1400" w:type="dxa"/>
            <w:noWrap/>
            <w:hideMark/>
          </w:tcPr>
          <w:p w:rsidR="00015B9F" w:rsidRPr="00015B9F" w:rsidRDefault="00015B9F" w:rsidP="00015B9F">
            <w:pPr>
              <w:spacing w:line="360" w:lineRule="auto"/>
              <w:rPr>
                <w:rFonts w:asciiTheme="majorHAnsi" w:eastAsia="Times New Roman" w:hAnsiTheme="majorHAnsi"/>
                <w:color w:val="000000"/>
              </w:rPr>
            </w:pPr>
            <w:r w:rsidRPr="00015B9F">
              <w:rPr>
                <w:rFonts w:asciiTheme="majorHAnsi" w:eastAsia="Times New Roman" w:hAnsiTheme="majorHAnsi"/>
                <w:color w:val="000000"/>
              </w:rPr>
              <w:t>дТ</w:t>
            </w:r>
          </w:p>
        </w:tc>
        <w:tc>
          <w:tcPr>
            <w:tcW w:w="583"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99</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92</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85</w:t>
            </w:r>
          </w:p>
        </w:tc>
        <w:tc>
          <w:tcPr>
            <w:tcW w:w="704" w:type="dxa"/>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88</w:t>
            </w:r>
          </w:p>
        </w:tc>
        <w:tc>
          <w:tcPr>
            <w:tcW w:w="704" w:type="dxa"/>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91</w:t>
            </w:r>
          </w:p>
        </w:tc>
      </w:tr>
      <w:tr w:rsidR="00015B9F" w:rsidRPr="00015B9F" w:rsidTr="00015B9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400" w:type="dxa"/>
            <w:noWrap/>
            <w:hideMark/>
          </w:tcPr>
          <w:p w:rsidR="00015B9F" w:rsidRPr="00015B9F" w:rsidRDefault="00015B9F" w:rsidP="00015B9F">
            <w:pPr>
              <w:spacing w:line="360" w:lineRule="auto"/>
              <w:rPr>
                <w:rFonts w:asciiTheme="majorHAnsi" w:eastAsia="Times New Roman" w:hAnsiTheme="majorHAnsi"/>
                <w:color w:val="000000"/>
              </w:rPr>
            </w:pPr>
            <w:r w:rsidRPr="00015B9F">
              <w:rPr>
                <w:rFonts w:asciiTheme="majorHAnsi" w:eastAsia="Times New Roman" w:hAnsiTheme="majorHAnsi"/>
                <w:color w:val="000000"/>
              </w:rPr>
              <w:t xml:space="preserve">OПВ рв </w:t>
            </w:r>
          </w:p>
        </w:tc>
        <w:tc>
          <w:tcPr>
            <w:tcW w:w="583"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92</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82</w:t>
            </w:r>
          </w:p>
        </w:tc>
        <w:tc>
          <w:tcPr>
            <w:tcW w:w="704" w:type="dxa"/>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86</w:t>
            </w:r>
          </w:p>
        </w:tc>
        <w:tc>
          <w:tcPr>
            <w:tcW w:w="704" w:type="dxa"/>
          </w:tcPr>
          <w:p w:rsidR="00015B9F" w:rsidRPr="00015B9F" w:rsidRDefault="00015B9F" w:rsidP="00015B9F">
            <w:pPr>
              <w:spacing w:line="360" w:lineRule="auto"/>
              <w:jc w:val="right"/>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94</w:t>
            </w:r>
          </w:p>
        </w:tc>
      </w:tr>
      <w:tr w:rsidR="00015B9F" w:rsidRPr="00015B9F" w:rsidTr="00015B9F">
        <w:trPr>
          <w:trHeight w:val="296"/>
        </w:trPr>
        <w:tc>
          <w:tcPr>
            <w:cnfStyle w:val="001000000000" w:firstRow="0" w:lastRow="0" w:firstColumn="1" w:lastColumn="0" w:oddVBand="0" w:evenVBand="0" w:oddHBand="0" w:evenHBand="0" w:firstRowFirstColumn="0" w:firstRowLastColumn="0" w:lastRowFirstColumn="0" w:lastRowLastColumn="0"/>
            <w:tcW w:w="1400" w:type="dxa"/>
            <w:noWrap/>
            <w:hideMark/>
          </w:tcPr>
          <w:p w:rsidR="00015B9F" w:rsidRPr="00015B9F" w:rsidRDefault="00015B9F" w:rsidP="00015B9F">
            <w:pPr>
              <w:spacing w:line="360" w:lineRule="auto"/>
              <w:rPr>
                <w:rFonts w:asciiTheme="majorHAnsi" w:eastAsia="Times New Roman" w:hAnsiTheme="majorHAnsi"/>
                <w:color w:val="000000"/>
              </w:rPr>
            </w:pPr>
            <w:r w:rsidRPr="00015B9F">
              <w:rPr>
                <w:rFonts w:asciiTheme="majorHAnsi" w:eastAsia="Times New Roman" w:hAnsiTheme="majorHAnsi"/>
                <w:color w:val="000000"/>
              </w:rPr>
              <w:t>ММР 2</w:t>
            </w:r>
          </w:p>
        </w:tc>
        <w:tc>
          <w:tcPr>
            <w:tcW w:w="583"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97</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91</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99</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96</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98</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99</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94</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85</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89</w:t>
            </w:r>
          </w:p>
        </w:tc>
        <w:tc>
          <w:tcPr>
            <w:tcW w:w="704" w:type="dxa"/>
            <w:noWrap/>
            <w:hideMark/>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84</w:t>
            </w:r>
          </w:p>
        </w:tc>
        <w:tc>
          <w:tcPr>
            <w:tcW w:w="704" w:type="dxa"/>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91</w:t>
            </w:r>
          </w:p>
        </w:tc>
        <w:tc>
          <w:tcPr>
            <w:tcW w:w="704" w:type="dxa"/>
          </w:tcPr>
          <w:p w:rsidR="00015B9F" w:rsidRPr="00015B9F" w:rsidRDefault="00015B9F" w:rsidP="00015B9F">
            <w:pPr>
              <w:spacing w:line="360" w:lineRule="auto"/>
              <w:jc w:val="right"/>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olor w:val="000000"/>
              </w:rPr>
            </w:pPr>
            <w:r w:rsidRPr="00015B9F">
              <w:rPr>
                <w:rFonts w:asciiTheme="majorHAnsi" w:eastAsia="Times New Roman" w:hAnsiTheme="majorHAnsi"/>
                <w:color w:val="000000"/>
              </w:rPr>
              <w:t>93</w:t>
            </w:r>
          </w:p>
        </w:tc>
      </w:tr>
    </w:tbl>
    <w:p w:rsidR="00015B9F" w:rsidRPr="00015B9F" w:rsidRDefault="00015B9F" w:rsidP="00015B9F">
      <w:pPr>
        <w:spacing w:line="360" w:lineRule="auto"/>
        <w:rPr>
          <w:rFonts w:asciiTheme="majorHAnsi" w:hAnsiTheme="majorHAnsi"/>
          <w:szCs w:val="20"/>
        </w:rPr>
      </w:pPr>
    </w:p>
    <w:p w:rsidR="009B2C78" w:rsidRPr="00BD1967" w:rsidRDefault="003771BC" w:rsidP="00BD1967">
      <w:pPr>
        <w:keepNext/>
        <w:keepLines/>
        <w:tabs>
          <w:tab w:val="left" w:pos="-720"/>
        </w:tabs>
        <w:spacing w:after="0"/>
        <w:rPr>
          <w:lang w:val="sr-Cyrl-CS"/>
        </w:rPr>
      </w:pPr>
      <w:r w:rsidRPr="00015B9F">
        <w:rPr>
          <w:lang w:val="sr-Cyrl-CS"/>
        </w:rPr>
        <w:t xml:space="preserve">Изостанком адекватног одговора свих </w:t>
      </w:r>
      <w:r w:rsidR="009254FB">
        <w:rPr>
          <w:lang w:val="sr-Cyrl-CS"/>
        </w:rPr>
        <w:t xml:space="preserve">учесника </w:t>
      </w:r>
      <w:r w:rsidRPr="00015B9F">
        <w:rPr>
          <w:lang w:val="sr-Cyrl-CS"/>
        </w:rPr>
        <w:t xml:space="preserve">из система имунизације и падом обухвата вакцинама, озбиљно се могу угрозити досадашњи постигнути резултати у редукцији оболевања од болести које </w:t>
      </w:r>
      <w:r w:rsidR="003D02D1">
        <w:rPr>
          <w:lang w:val="sr-Cyrl-CS"/>
        </w:rPr>
        <w:t xml:space="preserve">се могу спречити имунизацијом. </w:t>
      </w:r>
      <w:r w:rsidR="009B2C78" w:rsidRPr="00C338D4">
        <w:rPr>
          <w:rFonts w:ascii="Century Gothic" w:hAnsi="Century Gothic"/>
          <w:lang w:val="sr-Cyrl-RS"/>
        </w:rPr>
        <w:t xml:space="preserve">Актуелна епидемиолошка ситуација у погледу појединих обољења, против којих се спроводи систематска имунизација, зависи од дужине вакциналног периода, календара имунизације, висине вакциналног обухвата становништва и карактеристика самих вакцина. </w:t>
      </w:r>
    </w:p>
    <w:p w:rsidR="00073649" w:rsidRDefault="00073649" w:rsidP="009B2C78">
      <w:pPr>
        <w:rPr>
          <w:b/>
          <w:lang w:val="sr-Cyrl-RS"/>
        </w:rPr>
      </w:pPr>
    </w:p>
    <w:p w:rsidR="009B2C78" w:rsidRPr="00BD1967" w:rsidRDefault="009B2C78" w:rsidP="009B2C78">
      <w:pPr>
        <w:rPr>
          <w:b/>
          <w:lang w:val="sr-Cyrl-RS"/>
        </w:rPr>
      </w:pPr>
      <w:r w:rsidRPr="00BD1967">
        <w:rPr>
          <w:b/>
          <w:lang w:val="sr-Cyrl-RS"/>
        </w:rPr>
        <w:t>У даљем изв</w:t>
      </w:r>
      <w:r w:rsidR="00BD1967" w:rsidRPr="00BD1967">
        <w:rPr>
          <w:b/>
          <w:lang w:val="sr-Cyrl-RS"/>
        </w:rPr>
        <w:t>ештају презентовани су подаци о вакцинабилним</w:t>
      </w:r>
      <w:r w:rsidRPr="00BD1967">
        <w:rPr>
          <w:b/>
          <w:lang w:val="sr-Cyrl-RS"/>
        </w:rPr>
        <w:t xml:space="preserve"> болести</w:t>
      </w:r>
      <w:r w:rsidR="00BD1967" w:rsidRPr="00BD1967">
        <w:rPr>
          <w:b/>
          <w:lang w:val="sr-Cyrl-RS"/>
        </w:rPr>
        <w:t>ма ( грип, морбили) у периоду 2008-2017.</w:t>
      </w:r>
      <w:r w:rsidRPr="00BD1967">
        <w:rPr>
          <w:b/>
          <w:lang w:val="sr-Cyrl-RS"/>
        </w:rPr>
        <w:t xml:space="preserve"> које имају највећи епидемијски потенцијал са аспекта ризика од ванредних ситуација и катастрофа.</w:t>
      </w:r>
    </w:p>
    <w:p w:rsidR="003771BC" w:rsidRPr="009B2C78" w:rsidRDefault="003771BC" w:rsidP="008A32C9">
      <w:pPr>
        <w:keepNext/>
        <w:keepLines/>
        <w:tabs>
          <w:tab w:val="left" w:pos="-720"/>
        </w:tabs>
        <w:spacing w:after="0"/>
        <w:rPr>
          <w:u w:val="single"/>
          <w:lang w:val="sr-Cyrl-CS"/>
        </w:rPr>
      </w:pPr>
    </w:p>
    <w:p w:rsidR="00BC735F" w:rsidRPr="009254FB" w:rsidRDefault="00BC735F" w:rsidP="003D02D1">
      <w:pPr>
        <w:rPr>
          <w:sz w:val="22"/>
          <w:szCs w:val="22"/>
          <w:u w:val="single"/>
          <w:lang w:val="sr-Cyrl-RS"/>
        </w:rPr>
      </w:pPr>
      <w:bookmarkStart w:id="10" w:name="_Toc389134450"/>
      <w:bookmarkStart w:id="11" w:name="_Toc515520281"/>
      <w:bookmarkStart w:id="12" w:name="_Toc515524123"/>
      <w:r w:rsidRPr="009254FB">
        <w:rPr>
          <w:b/>
          <w:sz w:val="22"/>
          <w:szCs w:val="22"/>
          <w:u w:val="single"/>
        </w:rPr>
        <w:t xml:space="preserve"> </w:t>
      </w:r>
      <w:bookmarkEnd w:id="10"/>
      <w:bookmarkEnd w:id="11"/>
      <w:bookmarkEnd w:id="12"/>
      <w:r w:rsidR="009B2C78" w:rsidRPr="009254FB">
        <w:rPr>
          <w:b/>
          <w:sz w:val="22"/>
          <w:szCs w:val="22"/>
          <w:u w:val="single"/>
          <w:lang w:val="sr-Cyrl-RS"/>
        </w:rPr>
        <w:t>Грип ( инфлуенца) у АП Војводини</w:t>
      </w:r>
    </w:p>
    <w:p w:rsidR="00BC735F" w:rsidRPr="00DA0EA5" w:rsidRDefault="00BC735F" w:rsidP="00016E48">
      <w:pPr>
        <w:rPr>
          <w:rFonts w:cs="Arial"/>
        </w:rPr>
      </w:pPr>
      <w:r w:rsidRPr="00016E48">
        <w:rPr>
          <w:rFonts w:cs="Arial"/>
        </w:rPr>
        <w:t xml:space="preserve">Праћење епидемиолошке ситуације инфлуенце у </w:t>
      </w:r>
      <w:r w:rsidRPr="00016E48">
        <w:rPr>
          <w:rFonts w:cs="Arial"/>
          <w:lang w:val="sr-Cyrl-CS"/>
        </w:rPr>
        <w:t xml:space="preserve">АП </w:t>
      </w:r>
      <w:r w:rsidRPr="00016E48">
        <w:rPr>
          <w:rFonts w:cs="Arial"/>
        </w:rPr>
        <w:t xml:space="preserve">Војводини, као и у читавој нашој земљи, вршено је на основу збирних пријава регистрованих болесника под дијагнозама Ј10 (Influenza, virus identificatum) и J11 (Influenza, virus non identificatum), а у складу </w:t>
      </w:r>
      <w:r w:rsidR="00DA0EA5" w:rsidRPr="00016E48">
        <w:rPr>
          <w:rFonts w:cs="Arial"/>
        </w:rPr>
        <w:t>са важећим законским прописима.</w:t>
      </w:r>
      <w:r w:rsidR="00DA0EA5" w:rsidRPr="00016E48">
        <w:rPr>
          <w:rFonts w:cs="Arial"/>
          <w:lang w:val="sr-Cyrl-RS"/>
        </w:rPr>
        <w:t xml:space="preserve"> </w:t>
      </w:r>
      <w:r w:rsidRPr="00016E48">
        <w:rPr>
          <w:rFonts w:cs="Arial"/>
          <w:bCs/>
        </w:rPr>
        <w:t xml:space="preserve">У циљу бољег праћења епидемиолошке ситуације, ефикасног реаговања и смањења негативних последица на здравље становништва, у сезони 2004/05. </w:t>
      </w:r>
      <w:r w:rsidRPr="00016E48">
        <w:rPr>
          <w:rFonts w:cs="Arial"/>
          <w:bCs/>
          <w:lang w:val="sr-Cyrl-CS"/>
        </w:rPr>
        <w:t xml:space="preserve">године, </w:t>
      </w:r>
      <w:r w:rsidRPr="00016E48">
        <w:rPr>
          <w:rFonts w:cs="Arial"/>
          <w:bCs/>
        </w:rPr>
        <w:t xml:space="preserve">први пут је у </w:t>
      </w:r>
      <w:r w:rsidRPr="00016E48">
        <w:rPr>
          <w:rFonts w:cs="Arial"/>
          <w:bCs/>
          <w:lang w:val="sr-Cyrl-CS"/>
        </w:rPr>
        <w:t xml:space="preserve">АП </w:t>
      </w:r>
      <w:r w:rsidRPr="00016E48">
        <w:rPr>
          <w:rFonts w:cs="Arial"/>
          <w:bCs/>
        </w:rPr>
        <w:t>Војводини уведен сентинел</w:t>
      </w:r>
      <w:r w:rsidRPr="00016E48">
        <w:rPr>
          <w:rFonts w:cs="Arial"/>
          <w:bCs/>
          <w:lang w:val="sr-Cyrl-CS"/>
        </w:rPr>
        <w:t>ни</w:t>
      </w:r>
      <w:r w:rsidRPr="00016E48">
        <w:rPr>
          <w:rFonts w:cs="Arial"/>
          <w:bCs/>
        </w:rPr>
        <w:t xml:space="preserve"> надзор над обољењима сличним грипу (</w:t>
      </w:r>
      <w:r w:rsidRPr="00016E48">
        <w:rPr>
          <w:rFonts w:cs="Arial"/>
        </w:rPr>
        <w:t>ОСГ)</w:t>
      </w:r>
      <w:r w:rsidRPr="00016E48">
        <w:rPr>
          <w:rFonts w:cs="Arial"/>
          <w:bCs/>
        </w:rPr>
        <w:t xml:space="preserve"> и акутним респираторним инфекцијама (</w:t>
      </w:r>
      <w:r w:rsidRPr="00016E48">
        <w:rPr>
          <w:rFonts w:cs="Arial"/>
        </w:rPr>
        <w:t>АРИ)</w:t>
      </w:r>
      <w:r w:rsidRPr="00016E48">
        <w:rPr>
          <w:rFonts w:cs="Arial"/>
          <w:bCs/>
        </w:rPr>
        <w:t xml:space="preserve">. </w:t>
      </w:r>
      <w:r w:rsidR="009B2C78" w:rsidRPr="00016E48">
        <w:rPr>
          <w:rFonts w:cs="Arial"/>
          <w:bCs/>
        </w:rPr>
        <w:t>С</w:t>
      </w:r>
      <w:r w:rsidRPr="00016E48">
        <w:rPr>
          <w:rFonts w:cs="Arial"/>
          <w:bCs/>
        </w:rPr>
        <w:t xml:space="preserve">ентинелни надзор над </w:t>
      </w:r>
      <w:r w:rsidRPr="00016E48">
        <w:rPr>
          <w:rFonts w:cs="Arial"/>
        </w:rPr>
        <w:t>ОСГ</w:t>
      </w:r>
      <w:r w:rsidRPr="00016E48">
        <w:rPr>
          <w:rFonts w:cs="Arial"/>
          <w:bCs/>
        </w:rPr>
        <w:t xml:space="preserve"> и </w:t>
      </w:r>
      <w:r w:rsidRPr="00016E48">
        <w:rPr>
          <w:rFonts w:cs="Arial"/>
        </w:rPr>
        <w:t xml:space="preserve">АРИ </w:t>
      </w:r>
      <w:r w:rsidRPr="00016E48">
        <w:rPr>
          <w:rFonts w:cs="Arial"/>
          <w:bCs/>
        </w:rPr>
        <w:t xml:space="preserve">се у последњих </w:t>
      </w:r>
      <w:r w:rsidRPr="00016E48">
        <w:rPr>
          <w:rFonts w:cs="Arial"/>
          <w:bCs/>
          <w:lang w:val="sr-Cyrl-CS"/>
        </w:rPr>
        <w:t xml:space="preserve">пет сезона надзора, спроводи се на територији свих домова здравља Покрајине. </w:t>
      </w:r>
      <w:r w:rsidRPr="00016E48">
        <w:rPr>
          <w:rFonts w:cs="Arial"/>
          <w:bCs/>
        </w:rPr>
        <w:t>У оквиру припрема за  пандемију грипа (2009/10), сентинелни надзор је постао саставни део надзора над инфлуенцом у читавој нашој земљи.</w:t>
      </w:r>
    </w:p>
    <w:p w:rsidR="00EB7451" w:rsidRPr="00212B95" w:rsidRDefault="00BC735F" w:rsidP="00212B95">
      <w:pPr>
        <w:rPr>
          <w:rFonts w:cs="Arial"/>
          <w:lang w:val="sr-Cyrl-CS"/>
        </w:rPr>
      </w:pPr>
      <w:r w:rsidRPr="00ED3E93">
        <w:rPr>
          <w:rFonts w:cs="Arial"/>
        </w:rPr>
        <w:t xml:space="preserve">Током пандемијске сезоне 2009/10. године, вредност стопа инциденције ОСГ изнад епидемијског прага за Покрајину (246,3/100.000), регистрован је већ током 45. </w:t>
      </w:r>
      <w:r w:rsidR="009254FB">
        <w:rPr>
          <w:rFonts w:cs="Arial"/>
          <w:lang w:val="sr-Cyrl-RS"/>
        </w:rPr>
        <w:t>календарске</w:t>
      </w:r>
      <w:r w:rsidRPr="00ED3E93">
        <w:rPr>
          <w:rFonts w:cs="Arial"/>
        </w:rPr>
        <w:t xml:space="preserve">недеље надзора над грипом и овакав тренд одржавао се током </w:t>
      </w:r>
      <w:r>
        <w:rPr>
          <w:rFonts w:cs="Arial"/>
          <w:lang w:val="sr-Cyrl-CS"/>
        </w:rPr>
        <w:t>осам</w:t>
      </w:r>
      <w:r w:rsidRPr="00ED3E93">
        <w:rPr>
          <w:rFonts w:cs="Arial"/>
        </w:rPr>
        <w:t xml:space="preserve"> </w:t>
      </w:r>
      <w:r>
        <w:rPr>
          <w:rFonts w:cs="Arial"/>
          <w:lang w:val="sr-Cyrl-CS"/>
        </w:rPr>
        <w:lastRenderedPageBreak/>
        <w:t xml:space="preserve">узастопних </w:t>
      </w:r>
      <w:r w:rsidRPr="00ED3E93">
        <w:rPr>
          <w:rFonts w:cs="Arial"/>
        </w:rPr>
        <w:t>недеља надзора. У наредној</w:t>
      </w:r>
      <w:r>
        <w:rPr>
          <w:rFonts w:cs="Arial"/>
          <w:lang w:val="sr-Cyrl-CS"/>
        </w:rPr>
        <w:t>,</w:t>
      </w:r>
      <w:r w:rsidRPr="00ED3E93">
        <w:rPr>
          <w:rFonts w:cs="Arial"/>
        </w:rPr>
        <w:t xml:space="preserve"> 2010/11. сезони надзора, вредности стопа инциденције ОСГ изнад епидемијског прага регистроване су током </w:t>
      </w:r>
      <w:r>
        <w:rPr>
          <w:rFonts w:cs="Arial"/>
          <w:lang w:val="sr-Cyrl-CS"/>
        </w:rPr>
        <w:t>шест узастопних</w:t>
      </w:r>
      <w:r w:rsidRPr="00ED3E93">
        <w:rPr>
          <w:rFonts w:cs="Arial"/>
        </w:rPr>
        <w:t xml:space="preserve"> недеља надзора.</w:t>
      </w:r>
      <w:r>
        <w:rPr>
          <w:rFonts w:cs="Arial"/>
          <w:lang w:val="sr-Cyrl-CS"/>
        </w:rPr>
        <w:t xml:space="preserve"> </w:t>
      </w:r>
      <w:r w:rsidRPr="005B6370">
        <w:rPr>
          <w:rFonts w:cs="Arial"/>
        </w:rPr>
        <w:t xml:space="preserve">За разлику од сезоне 2011/12. године, када се </w:t>
      </w:r>
      <w:r>
        <w:rPr>
          <w:rFonts w:cs="Arial"/>
          <w:lang w:val="sr-Cyrl-CS"/>
        </w:rPr>
        <w:t xml:space="preserve">стопа </w:t>
      </w:r>
      <w:r>
        <w:rPr>
          <w:rFonts w:cs="Arial"/>
        </w:rPr>
        <w:t>инциденциј</w:t>
      </w:r>
      <w:r>
        <w:rPr>
          <w:rFonts w:cs="Arial"/>
          <w:lang w:val="sr-Cyrl-CS"/>
        </w:rPr>
        <w:t>е</w:t>
      </w:r>
      <w:r w:rsidRPr="005B6370">
        <w:rPr>
          <w:rFonts w:cs="Arial"/>
        </w:rPr>
        <w:t xml:space="preserve"> </w:t>
      </w:r>
      <w:r>
        <w:rPr>
          <w:rFonts w:cs="Arial"/>
          <w:lang w:val="sr-Cyrl-CS"/>
        </w:rPr>
        <w:t>ОСГ</w:t>
      </w:r>
      <w:r w:rsidRPr="005B6370">
        <w:rPr>
          <w:rFonts w:cs="Arial"/>
        </w:rPr>
        <w:t xml:space="preserve"> налазила изнад епидемијског прага за територију АП Војводине од 12. </w:t>
      </w:r>
      <w:r>
        <w:rPr>
          <w:rFonts w:cs="Arial"/>
        </w:rPr>
        <w:t>марта до 2. априла 2012. године</w:t>
      </w:r>
      <w:r w:rsidRPr="005B6370">
        <w:rPr>
          <w:rFonts w:cs="Arial"/>
        </w:rPr>
        <w:t xml:space="preserve"> </w:t>
      </w:r>
      <w:r>
        <w:rPr>
          <w:rFonts w:cs="Arial"/>
          <w:lang w:val="sr-Cyrl-CS"/>
        </w:rPr>
        <w:t xml:space="preserve">(три недеље надзора) </w:t>
      </w:r>
      <w:r>
        <w:rPr>
          <w:rFonts w:cs="Arial"/>
        </w:rPr>
        <w:t>и</w:t>
      </w:r>
      <w:r w:rsidRPr="005B6370">
        <w:rPr>
          <w:rFonts w:cs="Arial"/>
        </w:rPr>
        <w:t xml:space="preserve"> сезоне надзора 2012/13. године</w:t>
      </w:r>
      <w:r>
        <w:rPr>
          <w:rFonts w:cs="Arial"/>
          <w:lang w:val="sr-Cyrl-CS"/>
        </w:rPr>
        <w:t>,</w:t>
      </w:r>
      <w:r w:rsidRPr="005B6370">
        <w:rPr>
          <w:rFonts w:cs="Arial"/>
        </w:rPr>
        <w:t xml:space="preserve"> када се </w:t>
      </w:r>
      <w:r>
        <w:rPr>
          <w:rFonts w:cs="Arial"/>
          <w:lang w:val="sr-Cyrl-CS"/>
        </w:rPr>
        <w:t xml:space="preserve">стопа инциденције ОСГ </w:t>
      </w:r>
      <w:r w:rsidRPr="005B6370">
        <w:rPr>
          <w:rFonts w:cs="Arial"/>
        </w:rPr>
        <w:t>налазила изнад епидемијског прага</w:t>
      </w:r>
      <w:r>
        <w:rPr>
          <w:rFonts w:cs="Arial"/>
          <w:lang w:val="sr-Cyrl-CS"/>
        </w:rPr>
        <w:t xml:space="preserve"> </w:t>
      </w:r>
      <w:r>
        <w:rPr>
          <w:rFonts w:cs="Arial"/>
        </w:rPr>
        <w:t>у периоду од 4. фебруара до</w:t>
      </w:r>
      <w:r>
        <w:rPr>
          <w:rFonts w:cs="Arial"/>
          <w:lang w:val="sr-Cyrl-CS"/>
        </w:rPr>
        <w:t xml:space="preserve"> </w:t>
      </w:r>
      <w:r w:rsidRPr="005B6370">
        <w:rPr>
          <w:rFonts w:cs="Arial"/>
        </w:rPr>
        <w:t>17. марта 2013. године</w:t>
      </w:r>
      <w:r>
        <w:rPr>
          <w:rFonts w:cs="Arial"/>
          <w:lang w:val="sr-Cyrl-CS"/>
        </w:rPr>
        <w:t xml:space="preserve"> (шест недеља надзора), током сезоне 2013/14. године надзора регистрована стопа инциденције ОСГ је била испод епидемијског прага током читаве сезоне надзора над грипом</w:t>
      </w:r>
      <w:r>
        <w:rPr>
          <w:rFonts w:cs="Arial"/>
          <w:lang w:val="sr-Latn-CS"/>
        </w:rPr>
        <w:t xml:space="preserve">. </w:t>
      </w:r>
      <w:r>
        <w:rPr>
          <w:rFonts w:cs="Arial"/>
          <w:lang w:val="sr-Cyrl-CS"/>
        </w:rPr>
        <w:t>Током сезона 2014/15. и 2015/16. надзора над грипом, вредности стопа инциденције ОСГ изнад епидемијског прага регистроване су током пет недеља надзора, с тим што је појачана активност вируса грипа у сезони 2014/15. године детектована две недеље раније у односу на сезону 2015/16. године. Не узмајући у обзир пандемијску сезону надзора, када је активност вируса грипа регистрована и изван зимских месеци, током последње сезоне надзора над грипом регистровано је најраније присуство појачане активности вируса грипа у односу на све остале сезоне надзора након пандемије. Вредности стопа инциденције ОСГ у сезони 2016/17. године изнад епидемијског прага забележене су већ у другој половини месеца децембра 2016. године, а одржавале су се изнад прага средњег интензитета до друге половине месеца јану</w:t>
      </w:r>
      <w:r w:rsidR="009B2C78">
        <w:rPr>
          <w:rFonts w:cs="Arial"/>
          <w:lang w:val="sr-Cyrl-CS"/>
        </w:rPr>
        <w:t>ара 2017. године  (графикон 1).</w:t>
      </w:r>
    </w:p>
    <w:p w:rsidR="00BC735F" w:rsidRPr="007F7C2C" w:rsidRDefault="00BC735F" w:rsidP="00B03CC0">
      <w:pPr>
        <w:pStyle w:val="Caption"/>
        <w:spacing w:after="0"/>
        <w:rPr>
          <w:lang w:val="sr-Cyrl-CS"/>
        </w:rPr>
      </w:pPr>
      <w:r w:rsidRPr="00303051">
        <w:t xml:space="preserve">Графикон  </w:t>
      </w:r>
      <w:r>
        <w:rPr>
          <w:lang w:val="sr-Cyrl-CS"/>
        </w:rPr>
        <w:t>1</w:t>
      </w:r>
      <w:r w:rsidRPr="00303051">
        <w:t xml:space="preserve">.  </w:t>
      </w:r>
      <w:r w:rsidRPr="00303051">
        <w:rPr>
          <w:lang w:val="sr-Cyrl-CS"/>
        </w:rPr>
        <w:t>Учесталост</w:t>
      </w:r>
      <w:r w:rsidRPr="00303051">
        <w:t xml:space="preserve"> обољења сличних грипу (ОСГ) на територији АП Војводине </w:t>
      </w:r>
      <w:r w:rsidRPr="00303051">
        <w:rPr>
          <w:lang w:val="sr-Cyrl-CS"/>
        </w:rPr>
        <w:t xml:space="preserve">у </w:t>
      </w:r>
      <w:r>
        <w:rPr>
          <w:lang w:val="sr-Cyrl-CS"/>
        </w:rPr>
        <w:t>периоду</w:t>
      </w:r>
      <w:r w:rsidRPr="00303051">
        <w:rPr>
          <w:lang w:val="sr-Cyrl-CS"/>
        </w:rPr>
        <w:t xml:space="preserve"> </w:t>
      </w:r>
      <w:r>
        <w:rPr>
          <w:lang w:val="sr-Cyrl-CS"/>
        </w:rPr>
        <w:t>2009</w:t>
      </w:r>
      <w:r w:rsidRPr="00303051">
        <w:rPr>
          <w:lang w:val="sr-Cyrl-CS"/>
        </w:rPr>
        <w:t>/1</w:t>
      </w:r>
      <w:r>
        <w:rPr>
          <w:lang w:val="sr-Cyrl-CS"/>
        </w:rPr>
        <w:t>7</w:t>
      </w:r>
      <w:r w:rsidRPr="00303051">
        <w:rPr>
          <w:lang w:val="sr-Cyrl-CS"/>
        </w:rPr>
        <w:t>.</w:t>
      </w:r>
      <w:r w:rsidRPr="00303051">
        <w:t xml:space="preserve"> године</w:t>
      </w:r>
    </w:p>
    <w:p w:rsidR="00BC735F" w:rsidRDefault="00BC735F" w:rsidP="00B03CC0">
      <w:pPr>
        <w:jc w:val="center"/>
        <w:rPr>
          <w:rFonts w:cs="Arial"/>
          <w:lang w:val="sr-Cyrl-CS"/>
        </w:rPr>
      </w:pPr>
      <w:r w:rsidRPr="00394DF7">
        <w:rPr>
          <w:rFonts w:cs="Arial"/>
          <w:lang w:eastAsia="en-US"/>
        </w:rPr>
        <w:drawing>
          <wp:inline distT="0" distB="0" distL="0" distR="0">
            <wp:extent cx="5932170" cy="3429000"/>
            <wp:effectExtent l="0" t="0" r="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C735F" w:rsidRDefault="00BC735F" w:rsidP="00B03CC0">
      <w:pPr>
        <w:rPr>
          <w:rFonts w:cs="Arial"/>
          <w:lang w:val="sr-Cyrl-CS"/>
        </w:rPr>
      </w:pPr>
      <w:r>
        <w:rPr>
          <w:rFonts w:cs="Arial"/>
          <w:lang w:val="sr-Cyrl-CS"/>
        </w:rPr>
        <w:t xml:space="preserve">Највеће стопе морталитета </w:t>
      </w:r>
      <w:r w:rsidR="00DA0EA5">
        <w:rPr>
          <w:rFonts w:cs="Arial"/>
          <w:lang w:val="sr-Cyrl-CS"/>
        </w:rPr>
        <w:t xml:space="preserve">код нас као и у Европи су </w:t>
      </w:r>
      <w:r>
        <w:rPr>
          <w:rFonts w:cs="Arial"/>
          <w:lang w:val="sr-Cyrl-CS"/>
        </w:rPr>
        <w:t>регистр</w:t>
      </w:r>
      <w:r w:rsidR="00DA0EA5">
        <w:rPr>
          <w:rFonts w:cs="Arial"/>
          <w:lang w:val="sr-Cyrl-CS"/>
        </w:rPr>
        <w:t xml:space="preserve">оване </w:t>
      </w:r>
      <w:r>
        <w:rPr>
          <w:rFonts w:cs="Arial"/>
          <w:lang w:val="sr-Cyrl-CS"/>
        </w:rPr>
        <w:t xml:space="preserve"> међу најстаријом популацијом (узраст ≥65 година)</w:t>
      </w:r>
      <w:r w:rsidR="00DA0EA5">
        <w:rPr>
          <w:rFonts w:cs="Arial"/>
          <w:lang w:val="sr-Cyrl-CS"/>
        </w:rPr>
        <w:t xml:space="preserve"> са коморбидитетима</w:t>
      </w:r>
      <w:r>
        <w:rPr>
          <w:rFonts w:cs="Arial"/>
          <w:lang w:val="sr-Cyrl-CS"/>
        </w:rPr>
        <w:t xml:space="preserve">. </w:t>
      </w:r>
    </w:p>
    <w:p w:rsidR="004D2CA5" w:rsidRPr="009254FB" w:rsidRDefault="004D2CA5" w:rsidP="00B03CC0">
      <w:pPr>
        <w:pStyle w:val="Heading2"/>
        <w:rPr>
          <w:rFonts w:ascii="Century Gothic" w:hAnsi="Century Gothic"/>
          <w:b/>
          <w:sz w:val="22"/>
          <w:szCs w:val="22"/>
          <w:lang w:val="sr-Cyrl-RS"/>
        </w:rPr>
      </w:pPr>
      <w:bookmarkStart w:id="13" w:name="_Toc389134509"/>
      <w:bookmarkStart w:id="14" w:name="_Toc515520289"/>
      <w:bookmarkStart w:id="15" w:name="_Toc515524131"/>
      <w:r w:rsidRPr="009254FB">
        <w:rPr>
          <w:rFonts w:ascii="Century Gothic" w:hAnsi="Century Gothic"/>
          <w:b/>
          <w:sz w:val="22"/>
          <w:szCs w:val="22"/>
          <w:lang w:val="sr-Cyrl-RS"/>
        </w:rPr>
        <w:t>Morbilli</w:t>
      </w:r>
      <w:bookmarkEnd w:id="13"/>
      <w:bookmarkEnd w:id="14"/>
      <w:bookmarkEnd w:id="15"/>
      <w:r w:rsidRPr="009254FB">
        <w:rPr>
          <w:rFonts w:ascii="Century Gothic" w:hAnsi="Century Gothic"/>
          <w:b/>
          <w:sz w:val="22"/>
          <w:szCs w:val="22"/>
          <w:lang w:val="sr-Cyrl-RS"/>
        </w:rPr>
        <w:t xml:space="preserve"> </w:t>
      </w:r>
    </w:p>
    <w:p w:rsidR="00C338D4" w:rsidRPr="00C338D4" w:rsidRDefault="004D2CA5" w:rsidP="00016E48">
      <w:pPr>
        <w:ind w:right="57"/>
        <w:rPr>
          <w:rFonts w:ascii="Century Gothic" w:hAnsi="Century Gothic"/>
          <w:iCs/>
          <w:lang w:val="sr-Cyrl-RS"/>
        </w:rPr>
      </w:pPr>
      <w:r w:rsidRPr="00016E48">
        <w:rPr>
          <w:rStyle w:val="Emphasis"/>
          <w:rFonts w:ascii="Century Gothic" w:hAnsi="Century Gothic"/>
          <w:i w:val="0"/>
          <w:color w:val="auto"/>
          <w:lang w:val="sr-Cyrl-RS"/>
        </w:rPr>
        <w:t>Morbilli (мале богиње) се у АП Војвод</w:t>
      </w:r>
      <w:r w:rsidR="00DA0EA5" w:rsidRPr="00016E48">
        <w:rPr>
          <w:rStyle w:val="Emphasis"/>
          <w:rFonts w:ascii="Century Gothic" w:hAnsi="Century Gothic"/>
          <w:i w:val="0"/>
          <w:color w:val="auto"/>
          <w:lang w:val="sr-Cyrl-RS"/>
        </w:rPr>
        <w:t>ини пријављују од 1948. године.</w:t>
      </w:r>
      <w:r w:rsidRPr="00016E48">
        <w:rPr>
          <w:rStyle w:val="Emphasis"/>
          <w:rFonts w:ascii="Century Gothic" w:hAnsi="Century Gothic"/>
          <w:i w:val="0"/>
          <w:color w:val="auto"/>
          <w:lang w:val="sr-Cyrl-RS"/>
        </w:rPr>
        <w:t xml:space="preserve">Повољна епидемиолошка ситуација се одржавала све до 2007. године, када је импортовање морбила довело до епидемије која је захватила шире подручје АП Војводине. Након седам година, </w:t>
      </w:r>
      <w:r w:rsidRPr="00016E48">
        <w:rPr>
          <w:rFonts w:ascii="Century Gothic" w:hAnsi="Century Gothic" w:cs="Arial"/>
          <w:szCs w:val="20"/>
          <w:lang w:val="sr-Cyrl-RS"/>
        </w:rPr>
        <w:t xml:space="preserve">преливањем епидемије морбила из Републике Српске, дошло је до погоршања </w:t>
      </w:r>
      <w:r w:rsidRPr="00016E48">
        <w:rPr>
          <w:rFonts w:ascii="Century Gothic" w:hAnsi="Century Gothic" w:cs="Arial"/>
          <w:szCs w:val="20"/>
          <w:lang w:val="sr-Cyrl-RS"/>
        </w:rPr>
        <w:lastRenderedPageBreak/>
        <w:t xml:space="preserve">епидемиолошке ситуације у АП Војводини. Епидемија је почела у Јужнобачком округу (током 2014. године), а у 2015. години се проширила на шире подручје АП Војводине. Због пада обухвата имунизацијом </w:t>
      </w:r>
      <w:r w:rsidRPr="00016E48">
        <w:rPr>
          <w:rStyle w:val="Emphasis"/>
          <w:rFonts w:ascii="Century Gothic" w:hAnsi="Century Gothic"/>
          <w:color w:val="auto"/>
          <w:lang w:val="sr-Cyrl-RS"/>
        </w:rPr>
        <w:t>MMR</w:t>
      </w:r>
      <w:r w:rsidRPr="00016E48">
        <w:rPr>
          <w:rStyle w:val="Emphasis"/>
          <w:rFonts w:ascii="Century Gothic" w:hAnsi="Century Gothic"/>
          <w:i w:val="0"/>
          <w:color w:val="auto"/>
          <w:lang w:val="sr-Cyrl-RS"/>
        </w:rPr>
        <w:t xml:space="preserve"> </w:t>
      </w:r>
      <w:r w:rsidRPr="00016E48">
        <w:rPr>
          <w:rFonts w:ascii="Century Gothic" w:hAnsi="Century Gothic" w:cs="Arial"/>
          <w:szCs w:val="20"/>
          <w:lang w:val="sr-Cyrl-RS"/>
        </w:rPr>
        <w:t xml:space="preserve">вакцином, крајем 2017. године, на територији више грaдова и општина Републике Србије региструје се епидемијско ширење морбила са потенцијалом за оболевањем веће популације становништва у земљи. Обухват имунизацијом првом дозом </w:t>
      </w:r>
      <w:r w:rsidRPr="00016E48">
        <w:rPr>
          <w:rFonts w:ascii="Century Gothic" w:hAnsi="Century Gothic" w:cs="Arial"/>
          <w:i/>
          <w:szCs w:val="20"/>
          <w:lang w:val="sr-Cyrl-RS"/>
        </w:rPr>
        <w:t>MMR</w:t>
      </w:r>
      <w:r w:rsidRPr="00016E48">
        <w:rPr>
          <w:rFonts w:ascii="Century Gothic" w:hAnsi="Century Gothic" w:cs="Arial"/>
          <w:szCs w:val="20"/>
          <w:lang w:val="sr-Cyrl-RS"/>
        </w:rPr>
        <w:t xml:space="preserve"> вакцине у 2017. години био је најнижи (78,1%) од увођења ове вакцине у календар имунизације у нашој земљи.</w:t>
      </w:r>
      <w:r w:rsidR="00DA0EA5" w:rsidRPr="00016E48">
        <w:rPr>
          <w:rFonts w:ascii="Century Gothic" w:hAnsi="Century Gothic"/>
          <w:iCs/>
          <w:lang w:val="sr-Cyrl-RS"/>
        </w:rPr>
        <w:t xml:space="preserve"> </w:t>
      </w:r>
      <w:r w:rsidRPr="00016E48">
        <w:rPr>
          <w:rStyle w:val="Emphasis"/>
          <w:rFonts w:ascii="Century Gothic" w:hAnsi="Century Gothic"/>
          <w:i w:val="0"/>
          <w:color w:val="auto"/>
          <w:lang w:val="sr-Cyrl-RS"/>
        </w:rPr>
        <w:t xml:space="preserve">Морбили су представљали и чест узрок смртног исхода. До увођења имунизације, од морбила је умрло 189 особа. У вакциналном периоду су пријављене четири оболеле особе од морбила са смртним исходом. Последњи случајеви морбила са смртним исходом у АП Војводини регистровани су 1993. године, а </w:t>
      </w:r>
      <w:r w:rsidR="00C338D4" w:rsidRPr="00016E48">
        <w:rPr>
          <w:rStyle w:val="Emphasis"/>
          <w:rFonts w:ascii="Century Gothic" w:hAnsi="Century Gothic"/>
          <w:i w:val="0"/>
          <w:color w:val="auto"/>
          <w:lang w:val="sr-Cyrl-RS"/>
        </w:rPr>
        <w:t>у Републици Србији 2017. године</w:t>
      </w:r>
    </w:p>
    <w:p w:rsidR="004D2CA5" w:rsidRPr="00212B95" w:rsidRDefault="004D2CA5" w:rsidP="00B03CC0">
      <w:pPr>
        <w:pStyle w:val="Caption"/>
        <w:spacing w:after="160"/>
        <w:rPr>
          <w:rFonts w:ascii="Century Gothic" w:hAnsi="Century Gothic"/>
          <w:sz w:val="18"/>
          <w:szCs w:val="18"/>
          <w:lang w:val="sr-Cyrl-RS"/>
        </w:rPr>
      </w:pPr>
      <w:r w:rsidRPr="00212B95">
        <w:rPr>
          <w:rFonts w:ascii="Century Gothic" w:hAnsi="Century Gothic"/>
          <w:sz w:val="18"/>
          <w:szCs w:val="18"/>
          <w:lang w:val="sr-Cyrl-RS"/>
        </w:rPr>
        <w:t>Гр</w:t>
      </w:r>
      <w:r w:rsidR="00DA0EA5" w:rsidRPr="00212B95">
        <w:rPr>
          <w:rFonts w:ascii="Century Gothic" w:hAnsi="Century Gothic"/>
          <w:sz w:val="18"/>
          <w:szCs w:val="18"/>
          <w:lang w:val="sr-Cyrl-RS"/>
        </w:rPr>
        <w:t>афикон 2</w:t>
      </w:r>
      <w:r w:rsidRPr="00212B95">
        <w:rPr>
          <w:rFonts w:ascii="Century Gothic" w:hAnsi="Century Gothic"/>
          <w:sz w:val="18"/>
          <w:szCs w:val="18"/>
          <w:lang w:val="sr-Cyrl-RS"/>
        </w:rPr>
        <w:t>. Morbilli у АП Војводини у периоду од 1948. до 2017.године</w:t>
      </w:r>
    </w:p>
    <w:p w:rsidR="004D2CA5" w:rsidRPr="00AB26AA" w:rsidRDefault="004D2CA5" w:rsidP="00B03CC0">
      <w:pPr>
        <w:rPr>
          <w:rFonts w:ascii="Century Gothic" w:hAnsi="Century Gothic"/>
          <w:lang w:val="sr-Cyrl-RS"/>
        </w:rPr>
      </w:pPr>
      <w:r w:rsidRPr="00AB26AA">
        <w:rPr>
          <w:rFonts w:ascii="Century Gothic" w:hAnsi="Century Gothic"/>
          <w:lang w:eastAsia="en-US"/>
        </w:rPr>
        <mc:AlternateContent>
          <mc:Choice Requires="wps">
            <w:drawing>
              <wp:anchor distT="0" distB="0" distL="114300" distR="114300" simplePos="0" relativeHeight="251660288" behindDoc="0" locked="0" layoutInCell="1" allowOverlap="1">
                <wp:simplePos x="0" y="0"/>
                <wp:positionH relativeFrom="column">
                  <wp:posOffset>788035</wp:posOffset>
                </wp:positionH>
                <wp:positionV relativeFrom="paragraph">
                  <wp:posOffset>57150</wp:posOffset>
                </wp:positionV>
                <wp:extent cx="1797050" cy="414655"/>
                <wp:effectExtent l="0" t="0" r="0" b="0"/>
                <wp:wrapNone/>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7050" cy="414655"/>
                        </a:xfrm>
                        <a:prstGeom prst="rect">
                          <a:avLst/>
                        </a:prstGeom>
                        <a:noFill/>
                        <a:ln w="6350">
                          <a:noFill/>
                        </a:ln>
                        <a:effectLst/>
                      </wps:spPr>
                      <wps:txbx>
                        <w:txbxContent>
                          <w:p w:rsidR="00015B9F" w:rsidRDefault="00015B9F" w:rsidP="00B03CC0">
                            <w:r>
                              <w:t>Уведена вакцинација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62.05pt;margin-top:4.5pt;width:141.5pt;height:3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" filled="f" stroked="f" strokeweight=".5pt">
                <v:path arrowok="t"/>
                <v:textbox>
                  <w:txbxContent>
                    <w:p w:rsidR="00015B9F" w:rsidRDefault="00015B9F" w:rsidP="00B03CC0">
                      <w:r>
                        <w:t>Уведена вакцинација</w:t>
                      </w:r>
                    </w:p>
                  </w:txbxContent>
                </v:textbox>
              </v:shape>
            </w:pict>
          </mc:Fallback>
        </mc:AlternateContent>
      </w:r>
      <w:r w:rsidRPr="00AB26AA">
        <w:rPr>
          <w:rFonts w:ascii="Century Gothic" w:hAnsi="Century Gothic"/>
          <w:lang w:eastAsia="en-US"/>
        </w:rPr>
        <mc:AlternateContent>
          <mc:Choice Requires="wps">
            <w:drawing>
              <wp:anchor distT="0" distB="0" distL="114299" distR="114299" simplePos="0" relativeHeight="251662336" behindDoc="0" locked="0" layoutInCell="1" allowOverlap="1">
                <wp:simplePos x="0" y="0"/>
                <wp:positionH relativeFrom="column">
                  <wp:posOffset>2195194</wp:posOffset>
                </wp:positionH>
                <wp:positionV relativeFrom="paragraph">
                  <wp:posOffset>260350</wp:posOffset>
                </wp:positionV>
                <wp:extent cx="0" cy="2971800"/>
                <wp:effectExtent l="0" t="0" r="0" b="0"/>
                <wp:wrapNone/>
                <wp:docPr id="13"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971800"/>
                        </a:xfrm>
                        <a:prstGeom prst="line">
                          <a:avLst/>
                        </a:prstGeom>
                        <a:noFill/>
                        <a:ln w="9525" cap="rnd"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58C1A336" id="Straight Connector 5" o:spid="_x0000_s1026" style="position:absolute;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72.85pt,20.5pt" to="172.85pt,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" strokecolor="windowText">
                <v:stroke endcap="round"/>
                <o:lock v:ext="edit" shapetype="f"/>
              </v:line>
            </w:pict>
          </mc:Fallback>
        </mc:AlternateContent>
      </w:r>
      <w:r>
        <w:rPr>
          <w:lang w:eastAsia="en-US"/>
        </w:rPr>
        <w:drawing>
          <wp:inline distT="0" distB="0" distL="0" distR="0" wp14:anchorId="26B42940" wp14:editId="417D5BA2">
            <wp:extent cx="5975985" cy="325755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D2CA5" w:rsidRPr="00AB26AA" w:rsidRDefault="00DA0EA5" w:rsidP="00B03CC0">
      <w:pPr>
        <w:pStyle w:val="Caption"/>
        <w:spacing w:after="0"/>
        <w:rPr>
          <w:rFonts w:ascii="Century Gothic" w:hAnsi="Century Gothic"/>
          <w:lang w:val="sr-Cyrl-RS"/>
        </w:rPr>
      </w:pPr>
      <w:r w:rsidRPr="00073649">
        <w:rPr>
          <w:rFonts w:ascii="Century Gothic" w:hAnsi="Century Gothic"/>
          <w:lang w:val="sr-Cyrl-RS"/>
        </w:rPr>
        <w:t xml:space="preserve">Табела </w:t>
      </w:r>
      <w:r w:rsidR="00073649" w:rsidRPr="00073649">
        <w:rPr>
          <w:rFonts w:ascii="Century Gothic" w:hAnsi="Century Gothic"/>
          <w:lang w:val="sr-Cyrl-RS"/>
        </w:rPr>
        <w:t>4</w:t>
      </w:r>
      <w:r w:rsidR="004D2CA5" w:rsidRPr="00073649">
        <w:rPr>
          <w:rFonts w:ascii="Century Gothic" w:hAnsi="Century Gothic"/>
        </w:rPr>
        <w:t>.</w:t>
      </w:r>
      <w:r w:rsidR="004D2CA5" w:rsidRPr="00AB26AA">
        <w:rPr>
          <w:rFonts w:ascii="Century Gothic" w:hAnsi="Century Gothic"/>
          <w:lang w:val="sr-Cyrl-RS"/>
        </w:rPr>
        <w:t xml:space="preserve"> Morbilli у АП Војводини у периоду од 2008. до 2017.године </w:t>
      </w:r>
    </w:p>
    <w:tbl>
      <w:tblPr>
        <w:tblW w:w="10235" w:type="dxa"/>
        <w:jc w:val="center"/>
        <w:tblLook w:val="06A0" w:firstRow="1" w:lastRow="0" w:firstColumn="1" w:lastColumn="0" w:noHBand="1" w:noVBand="1"/>
      </w:tblPr>
      <w:tblGrid>
        <w:gridCol w:w="1984"/>
        <w:gridCol w:w="799"/>
        <w:gridCol w:w="830"/>
        <w:gridCol w:w="799"/>
        <w:gridCol w:w="799"/>
        <w:gridCol w:w="799"/>
        <w:gridCol w:w="845"/>
        <w:gridCol w:w="845"/>
        <w:gridCol w:w="845"/>
        <w:gridCol w:w="845"/>
        <w:gridCol w:w="845"/>
      </w:tblGrid>
      <w:tr w:rsidR="004D2CA5" w:rsidRPr="00AB26AA" w:rsidTr="00B03CC0">
        <w:trPr>
          <w:trHeight w:val="220"/>
          <w:jc w:val="center"/>
        </w:trPr>
        <w:tc>
          <w:tcPr>
            <w:tcW w:w="1984" w:type="dxa"/>
            <w:tcBorders>
              <w:right w:val="nil"/>
            </w:tcBorders>
            <w:shd w:val="clear" w:color="auto" w:fill="3494BA"/>
          </w:tcPr>
          <w:p w:rsidR="004D2CA5" w:rsidRPr="00AB26AA" w:rsidRDefault="004D2CA5" w:rsidP="00B03CC0">
            <w:pPr>
              <w:spacing w:after="0" w:line="259" w:lineRule="auto"/>
              <w:jc w:val="center"/>
              <w:rPr>
                <w:rFonts w:ascii="Century Gothic" w:hAnsi="Century Gothic"/>
                <w:b/>
                <w:iCs/>
                <w:color w:val="FFFFFF"/>
                <w:szCs w:val="20"/>
                <w:lang w:val="sr-Cyrl-RS"/>
              </w:rPr>
            </w:pPr>
          </w:p>
        </w:tc>
        <w:tc>
          <w:tcPr>
            <w:tcW w:w="799" w:type="dxa"/>
            <w:shd w:val="clear" w:color="auto" w:fill="3494BA"/>
          </w:tcPr>
          <w:p w:rsidR="004D2CA5" w:rsidRPr="00AB26AA" w:rsidRDefault="004D2CA5" w:rsidP="00B03CC0">
            <w:pPr>
              <w:spacing w:after="0" w:line="259" w:lineRule="auto"/>
              <w:jc w:val="left"/>
              <w:rPr>
                <w:rFonts w:ascii="Century Gothic" w:hAnsi="Century Gothic"/>
                <w:b/>
                <w:iCs/>
                <w:color w:val="FFFFFF"/>
                <w:szCs w:val="20"/>
                <w:lang w:val="sr-Cyrl-RS"/>
              </w:rPr>
            </w:pPr>
            <w:r w:rsidRPr="00AB26AA">
              <w:rPr>
                <w:rFonts w:ascii="Century Gothic" w:hAnsi="Century Gothic"/>
                <w:b/>
                <w:iCs/>
                <w:color w:val="F2F2F2"/>
                <w:szCs w:val="20"/>
                <w:lang w:val="sr-Cyrl-RS"/>
              </w:rPr>
              <w:t xml:space="preserve">2008 </w:t>
            </w:r>
          </w:p>
        </w:tc>
        <w:tc>
          <w:tcPr>
            <w:tcW w:w="830" w:type="dxa"/>
            <w:shd w:val="clear" w:color="auto" w:fill="3494BA"/>
          </w:tcPr>
          <w:p w:rsidR="004D2CA5" w:rsidRPr="00AB26AA" w:rsidRDefault="004D2CA5" w:rsidP="00B03CC0">
            <w:pPr>
              <w:spacing w:after="0" w:line="259" w:lineRule="auto"/>
              <w:ind w:left="31"/>
              <w:jc w:val="left"/>
              <w:rPr>
                <w:rFonts w:ascii="Century Gothic" w:hAnsi="Century Gothic"/>
                <w:b/>
                <w:iCs/>
                <w:color w:val="FFFFFF"/>
                <w:szCs w:val="20"/>
                <w:lang w:val="sr-Cyrl-RS"/>
              </w:rPr>
            </w:pPr>
            <w:r w:rsidRPr="00AB26AA">
              <w:rPr>
                <w:rFonts w:ascii="Century Gothic" w:hAnsi="Century Gothic"/>
                <w:b/>
                <w:iCs/>
                <w:color w:val="F2F2F2"/>
                <w:szCs w:val="20"/>
                <w:lang w:val="sr-Cyrl-RS"/>
              </w:rPr>
              <w:t xml:space="preserve">2009 </w:t>
            </w:r>
          </w:p>
        </w:tc>
        <w:tc>
          <w:tcPr>
            <w:tcW w:w="799" w:type="dxa"/>
            <w:shd w:val="clear" w:color="auto" w:fill="3494BA"/>
          </w:tcPr>
          <w:p w:rsidR="004D2CA5" w:rsidRPr="00AB26AA" w:rsidRDefault="004D2CA5" w:rsidP="00B03CC0">
            <w:pPr>
              <w:spacing w:after="0" w:line="259" w:lineRule="auto"/>
              <w:jc w:val="left"/>
              <w:rPr>
                <w:rFonts w:ascii="Century Gothic" w:hAnsi="Century Gothic"/>
                <w:b/>
                <w:iCs/>
                <w:color w:val="FFFFFF"/>
                <w:szCs w:val="20"/>
                <w:lang w:val="sr-Cyrl-RS"/>
              </w:rPr>
            </w:pPr>
            <w:r w:rsidRPr="00AB26AA">
              <w:rPr>
                <w:rFonts w:ascii="Century Gothic" w:hAnsi="Century Gothic"/>
                <w:b/>
                <w:iCs/>
                <w:color w:val="F2F2F2"/>
                <w:szCs w:val="20"/>
                <w:lang w:val="sr-Cyrl-RS"/>
              </w:rPr>
              <w:t xml:space="preserve">2010 </w:t>
            </w:r>
          </w:p>
        </w:tc>
        <w:tc>
          <w:tcPr>
            <w:tcW w:w="799" w:type="dxa"/>
            <w:shd w:val="clear" w:color="auto" w:fill="3494BA"/>
          </w:tcPr>
          <w:p w:rsidR="004D2CA5" w:rsidRPr="00AB26AA" w:rsidRDefault="004D2CA5" w:rsidP="00B03CC0">
            <w:pPr>
              <w:spacing w:after="0" w:line="259" w:lineRule="auto"/>
              <w:jc w:val="left"/>
              <w:rPr>
                <w:rFonts w:ascii="Century Gothic" w:hAnsi="Century Gothic"/>
                <w:b/>
                <w:iCs/>
                <w:color w:val="FFFFFF"/>
                <w:szCs w:val="20"/>
                <w:lang w:val="sr-Cyrl-RS"/>
              </w:rPr>
            </w:pPr>
            <w:r w:rsidRPr="00AB26AA">
              <w:rPr>
                <w:rFonts w:ascii="Century Gothic" w:hAnsi="Century Gothic"/>
                <w:b/>
                <w:iCs/>
                <w:color w:val="F2F2F2"/>
                <w:szCs w:val="20"/>
                <w:lang w:val="sr-Cyrl-RS"/>
              </w:rPr>
              <w:t xml:space="preserve">2011 </w:t>
            </w:r>
          </w:p>
        </w:tc>
        <w:tc>
          <w:tcPr>
            <w:tcW w:w="799" w:type="dxa"/>
            <w:shd w:val="clear" w:color="auto" w:fill="3494BA"/>
          </w:tcPr>
          <w:p w:rsidR="004D2CA5" w:rsidRPr="00AB26AA" w:rsidRDefault="004D2CA5" w:rsidP="00B03CC0">
            <w:pPr>
              <w:spacing w:after="0" w:line="259" w:lineRule="auto"/>
              <w:jc w:val="left"/>
              <w:rPr>
                <w:rFonts w:ascii="Century Gothic" w:hAnsi="Century Gothic"/>
                <w:b/>
                <w:iCs/>
                <w:color w:val="FFFFFF"/>
                <w:szCs w:val="20"/>
                <w:lang w:val="sr-Cyrl-RS"/>
              </w:rPr>
            </w:pPr>
            <w:r w:rsidRPr="00AB26AA">
              <w:rPr>
                <w:rFonts w:ascii="Century Gothic" w:hAnsi="Century Gothic"/>
                <w:b/>
                <w:iCs/>
                <w:color w:val="F2F2F2"/>
                <w:szCs w:val="20"/>
                <w:lang w:val="sr-Cyrl-RS"/>
              </w:rPr>
              <w:t xml:space="preserve">2012 </w:t>
            </w:r>
          </w:p>
        </w:tc>
        <w:tc>
          <w:tcPr>
            <w:tcW w:w="845" w:type="dxa"/>
            <w:shd w:val="clear" w:color="auto" w:fill="3494BA"/>
          </w:tcPr>
          <w:p w:rsidR="004D2CA5" w:rsidRPr="00AB26AA" w:rsidRDefault="004D2CA5" w:rsidP="00B03CC0">
            <w:pPr>
              <w:spacing w:after="0" w:line="259" w:lineRule="auto"/>
              <w:ind w:right="46"/>
              <w:jc w:val="center"/>
              <w:rPr>
                <w:rFonts w:ascii="Century Gothic" w:hAnsi="Century Gothic"/>
                <w:b/>
                <w:iCs/>
                <w:color w:val="FFFFFF"/>
                <w:szCs w:val="20"/>
                <w:lang w:val="sr-Cyrl-RS"/>
              </w:rPr>
            </w:pPr>
            <w:r w:rsidRPr="00AB26AA">
              <w:rPr>
                <w:rFonts w:ascii="Century Gothic" w:hAnsi="Century Gothic"/>
                <w:b/>
                <w:iCs/>
                <w:color w:val="F2F2F2"/>
                <w:szCs w:val="20"/>
                <w:lang w:val="sr-Cyrl-RS"/>
              </w:rPr>
              <w:t xml:space="preserve">2013 </w:t>
            </w:r>
          </w:p>
        </w:tc>
        <w:tc>
          <w:tcPr>
            <w:tcW w:w="845" w:type="dxa"/>
            <w:shd w:val="clear" w:color="auto" w:fill="3494BA"/>
          </w:tcPr>
          <w:p w:rsidR="004D2CA5" w:rsidRPr="00AB26AA" w:rsidRDefault="004D2CA5" w:rsidP="00B03CC0">
            <w:pPr>
              <w:spacing w:after="0" w:line="259" w:lineRule="auto"/>
              <w:ind w:right="46"/>
              <w:rPr>
                <w:rFonts w:ascii="Century Gothic" w:hAnsi="Century Gothic"/>
                <w:b/>
                <w:iCs/>
                <w:color w:val="F2F2F2"/>
                <w:szCs w:val="20"/>
                <w:lang w:val="sr-Cyrl-RS"/>
              </w:rPr>
            </w:pPr>
            <w:r w:rsidRPr="00AB26AA">
              <w:rPr>
                <w:rFonts w:ascii="Century Gothic" w:hAnsi="Century Gothic"/>
                <w:b/>
                <w:iCs/>
                <w:color w:val="F2F2F2"/>
                <w:szCs w:val="20"/>
                <w:lang w:val="sr-Cyrl-RS"/>
              </w:rPr>
              <w:t>2014</w:t>
            </w:r>
          </w:p>
        </w:tc>
        <w:tc>
          <w:tcPr>
            <w:tcW w:w="845" w:type="dxa"/>
            <w:shd w:val="clear" w:color="auto" w:fill="3494BA"/>
          </w:tcPr>
          <w:p w:rsidR="004D2CA5" w:rsidRPr="00AB26AA" w:rsidRDefault="004D2CA5" w:rsidP="00B03CC0">
            <w:pPr>
              <w:spacing w:after="0" w:line="259" w:lineRule="auto"/>
              <w:ind w:right="46"/>
              <w:rPr>
                <w:rFonts w:ascii="Century Gothic" w:hAnsi="Century Gothic"/>
                <w:b/>
                <w:iCs/>
                <w:color w:val="F2F2F2"/>
                <w:szCs w:val="20"/>
                <w:lang w:val="sr-Cyrl-RS"/>
              </w:rPr>
            </w:pPr>
            <w:r w:rsidRPr="00AB26AA">
              <w:rPr>
                <w:rFonts w:ascii="Century Gothic" w:hAnsi="Century Gothic"/>
                <w:b/>
                <w:iCs/>
                <w:color w:val="F2F2F2"/>
                <w:szCs w:val="20"/>
                <w:lang w:val="sr-Cyrl-RS"/>
              </w:rPr>
              <w:t>2015</w:t>
            </w:r>
          </w:p>
        </w:tc>
        <w:tc>
          <w:tcPr>
            <w:tcW w:w="845" w:type="dxa"/>
            <w:shd w:val="clear" w:color="auto" w:fill="3494BA"/>
          </w:tcPr>
          <w:p w:rsidR="004D2CA5" w:rsidRPr="00AB26AA" w:rsidRDefault="004D2CA5" w:rsidP="00B03CC0">
            <w:pPr>
              <w:spacing w:after="0" w:line="259" w:lineRule="auto"/>
              <w:ind w:right="46"/>
              <w:rPr>
                <w:rFonts w:ascii="Century Gothic" w:hAnsi="Century Gothic"/>
                <w:b/>
                <w:iCs/>
                <w:color w:val="F2F2F2"/>
                <w:szCs w:val="20"/>
                <w:lang w:val="sr-Cyrl-RS"/>
              </w:rPr>
            </w:pPr>
            <w:r w:rsidRPr="00AB26AA">
              <w:rPr>
                <w:rFonts w:ascii="Century Gothic" w:hAnsi="Century Gothic"/>
                <w:b/>
                <w:iCs/>
                <w:color w:val="F2F2F2"/>
                <w:szCs w:val="20"/>
                <w:lang w:val="sr-Cyrl-RS"/>
              </w:rPr>
              <w:t>2016</w:t>
            </w:r>
          </w:p>
        </w:tc>
        <w:tc>
          <w:tcPr>
            <w:tcW w:w="845" w:type="dxa"/>
            <w:shd w:val="clear" w:color="auto" w:fill="3494BA"/>
          </w:tcPr>
          <w:p w:rsidR="004D2CA5" w:rsidRPr="00AB26AA" w:rsidRDefault="004D2CA5" w:rsidP="00B03CC0">
            <w:pPr>
              <w:spacing w:after="0" w:line="259" w:lineRule="auto"/>
              <w:ind w:right="46"/>
              <w:rPr>
                <w:rFonts w:ascii="Century Gothic" w:hAnsi="Century Gothic"/>
                <w:b/>
                <w:iCs/>
                <w:color w:val="F2F2F2"/>
                <w:szCs w:val="20"/>
                <w:lang w:val="sr-Cyrl-RS"/>
              </w:rPr>
            </w:pPr>
            <w:r w:rsidRPr="00AB26AA">
              <w:rPr>
                <w:rFonts w:ascii="Century Gothic" w:hAnsi="Century Gothic"/>
                <w:b/>
                <w:iCs/>
                <w:color w:val="F2F2F2"/>
                <w:szCs w:val="20"/>
                <w:lang w:val="sr-Cyrl-RS"/>
              </w:rPr>
              <w:t>2017</w:t>
            </w:r>
          </w:p>
        </w:tc>
      </w:tr>
      <w:tr w:rsidR="004D2CA5" w:rsidRPr="00AB26AA" w:rsidTr="00B03CC0">
        <w:trPr>
          <w:trHeight w:val="308"/>
          <w:jc w:val="center"/>
        </w:trPr>
        <w:tc>
          <w:tcPr>
            <w:tcW w:w="1984" w:type="dxa"/>
            <w:tcBorders>
              <w:right w:val="single" w:sz="4" w:space="0" w:color="7F7F7F"/>
            </w:tcBorders>
            <w:shd w:val="clear" w:color="auto" w:fill="FFFFFF"/>
          </w:tcPr>
          <w:p w:rsidR="004D2CA5" w:rsidRPr="00AB26AA" w:rsidRDefault="004D2CA5" w:rsidP="00B03CC0">
            <w:pPr>
              <w:spacing w:after="0" w:line="240" w:lineRule="auto"/>
              <w:ind w:right="50"/>
              <w:jc w:val="right"/>
              <w:rPr>
                <w:rFonts w:ascii="Century Gothic" w:hAnsi="Century Gothic"/>
                <w:iCs/>
                <w:szCs w:val="20"/>
                <w:lang w:val="sr-Cyrl-RS"/>
              </w:rPr>
            </w:pPr>
            <w:r w:rsidRPr="00AB26AA">
              <w:rPr>
                <w:rFonts w:ascii="Century Gothic" w:hAnsi="Century Gothic"/>
                <w:iCs/>
                <w:szCs w:val="20"/>
                <w:lang w:val="sr-Cyrl-RS"/>
              </w:rPr>
              <w:t xml:space="preserve">Бр. оболелих </w:t>
            </w:r>
          </w:p>
        </w:tc>
        <w:tc>
          <w:tcPr>
            <w:tcW w:w="799" w:type="dxa"/>
            <w:shd w:val="clear" w:color="auto" w:fill="auto"/>
          </w:tcPr>
          <w:p w:rsidR="004D2CA5" w:rsidRPr="00AB26AA" w:rsidRDefault="004D2CA5" w:rsidP="00B03CC0">
            <w:pPr>
              <w:spacing w:after="0" w:line="240" w:lineRule="auto"/>
              <w:ind w:right="43"/>
              <w:jc w:val="right"/>
              <w:rPr>
                <w:rFonts w:ascii="Century Gothic" w:hAnsi="Century Gothic"/>
                <w:szCs w:val="20"/>
                <w:lang w:val="sr-Cyrl-RS"/>
              </w:rPr>
            </w:pPr>
            <w:r w:rsidRPr="00AB26AA">
              <w:rPr>
                <w:rFonts w:ascii="Century Gothic" w:hAnsi="Century Gothic"/>
                <w:szCs w:val="20"/>
                <w:lang w:val="sr-Cyrl-RS"/>
              </w:rPr>
              <w:t>0</w:t>
            </w:r>
          </w:p>
        </w:tc>
        <w:tc>
          <w:tcPr>
            <w:tcW w:w="830" w:type="dxa"/>
            <w:shd w:val="clear" w:color="auto" w:fill="auto"/>
          </w:tcPr>
          <w:p w:rsidR="004D2CA5" w:rsidRPr="00AB26AA" w:rsidRDefault="004D2CA5" w:rsidP="00B03CC0">
            <w:pPr>
              <w:spacing w:after="0" w:line="240" w:lineRule="auto"/>
              <w:ind w:right="45"/>
              <w:jc w:val="right"/>
              <w:rPr>
                <w:rFonts w:ascii="Century Gothic" w:hAnsi="Century Gothic"/>
                <w:szCs w:val="20"/>
                <w:lang w:val="sr-Cyrl-RS"/>
              </w:rPr>
            </w:pPr>
            <w:r w:rsidRPr="00AB26AA">
              <w:rPr>
                <w:rFonts w:ascii="Century Gothic" w:hAnsi="Century Gothic"/>
                <w:szCs w:val="20"/>
                <w:lang w:val="sr-Cyrl-RS"/>
              </w:rPr>
              <w:t>1</w:t>
            </w:r>
          </w:p>
        </w:tc>
        <w:tc>
          <w:tcPr>
            <w:tcW w:w="799" w:type="dxa"/>
            <w:shd w:val="clear" w:color="auto" w:fill="auto"/>
          </w:tcPr>
          <w:p w:rsidR="004D2CA5" w:rsidRPr="00AB26AA" w:rsidRDefault="004D2CA5" w:rsidP="00B03CC0">
            <w:pPr>
              <w:spacing w:after="0" w:line="240" w:lineRule="auto"/>
              <w:ind w:right="45"/>
              <w:jc w:val="right"/>
              <w:rPr>
                <w:rFonts w:ascii="Century Gothic" w:hAnsi="Century Gothic"/>
                <w:szCs w:val="20"/>
                <w:lang w:val="sr-Cyrl-RS"/>
              </w:rPr>
            </w:pPr>
            <w:r w:rsidRPr="00AB26AA">
              <w:rPr>
                <w:rFonts w:ascii="Century Gothic" w:hAnsi="Century Gothic"/>
                <w:szCs w:val="20"/>
                <w:lang w:val="sr-Cyrl-RS"/>
              </w:rPr>
              <w:t>0</w:t>
            </w:r>
          </w:p>
        </w:tc>
        <w:tc>
          <w:tcPr>
            <w:tcW w:w="799" w:type="dxa"/>
            <w:shd w:val="clear" w:color="auto" w:fill="auto"/>
          </w:tcPr>
          <w:p w:rsidR="004D2CA5" w:rsidRPr="00AB26AA" w:rsidRDefault="004D2CA5" w:rsidP="00B03CC0">
            <w:pPr>
              <w:spacing w:after="0" w:line="240" w:lineRule="auto"/>
              <w:ind w:right="42"/>
              <w:jc w:val="right"/>
              <w:rPr>
                <w:rFonts w:ascii="Century Gothic" w:hAnsi="Century Gothic"/>
                <w:szCs w:val="20"/>
                <w:lang w:val="sr-Cyrl-RS"/>
              </w:rPr>
            </w:pPr>
            <w:r w:rsidRPr="00AB26AA">
              <w:rPr>
                <w:rFonts w:ascii="Century Gothic" w:hAnsi="Century Gothic"/>
                <w:szCs w:val="20"/>
                <w:lang w:val="sr-Cyrl-RS"/>
              </w:rPr>
              <w:t>5</w:t>
            </w:r>
          </w:p>
        </w:tc>
        <w:tc>
          <w:tcPr>
            <w:tcW w:w="799" w:type="dxa"/>
            <w:shd w:val="clear" w:color="auto" w:fill="auto"/>
          </w:tcPr>
          <w:p w:rsidR="004D2CA5" w:rsidRPr="00AB26AA" w:rsidRDefault="004D2CA5" w:rsidP="00B03CC0">
            <w:pPr>
              <w:spacing w:after="0" w:line="240" w:lineRule="auto"/>
              <w:ind w:right="44"/>
              <w:jc w:val="right"/>
              <w:rPr>
                <w:rFonts w:ascii="Century Gothic" w:hAnsi="Century Gothic"/>
                <w:szCs w:val="20"/>
                <w:lang w:val="sr-Cyrl-RS"/>
              </w:rPr>
            </w:pPr>
            <w:r w:rsidRPr="00AB26AA">
              <w:rPr>
                <w:rFonts w:ascii="Century Gothic" w:hAnsi="Century Gothic"/>
                <w:szCs w:val="20"/>
                <w:lang w:val="sr-Cyrl-RS"/>
              </w:rPr>
              <w:t>0</w:t>
            </w:r>
          </w:p>
        </w:tc>
        <w:tc>
          <w:tcPr>
            <w:tcW w:w="845" w:type="dxa"/>
            <w:shd w:val="clear" w:color="auto" w:fill="auto"/>
          </w:tcPr>
          <w:p w:rsidR="004D2CA5" w:rsidRPr="00AB26AA" w:rsidRDefault="004D2CA5" w:rsidP="00B03CC0">
            <w:pPr>
              <w:spacing w:after="0" w:line="240" w:lineRule="auto"/>
              <w:ind w:right="46"/>
              <w:jc w:val="right"/>
              <w:rPr>
                <w:rFonts w:ascii="Century Gothic" w:hAnsi="Century Gothic"/>
                <w:szCs w:val="20"/>
                <w:lang w:val="sr-Cyrl-RS"/>
              </w:rPr>
            </w:pPr>
            <w:r w:rsidRPr="00AB26AA">
              <w:rPr>
                <w:rFonts w:ascii="Century Gothic" w:hAnsi="Century Gothic"/>
                <w:szCs w:val="20"/>
                <w:lang w:val="sr-Cyrl-RS"/>
              </w:rPr>
              <w:t>1</w:t>
            </w:r>
          </w:p>
        </w:tc>
        <w:tc>
          <w:tcPr>
            <w:tcW w:w="845" w:type="dxa"/>
            <w:shd w:val="clear" w:color="auto" w:fill="auto"/>
          </w:tcPr>
          <w:p w:rsidR="004D2CA5" w:rsidRPr="00AB26AA" w:rsidRDefault="004D2CA5" w:rsidP="00B03CC0">
            <w:pPr>
              <w:spacing w:after="0" w:line="240" w:lineRule="auto"/>
              <w:ind w:right="46"/>
              <w:jc w:val="right"/>
              <w:rPr>
                <w:rFonts w:ascii="Century Gothic" w:hAnsi="Century Gothic"/>
                <w:szCs w:val="20"/>
                <w:lang w:val="sr-Cyrl-RS"/>
              </w:rPr>
            </w:pPr>
            <w:r w:rsidRPr="00AB26AA">
              <w:rPr>
                <w:rFonts w:ascii="Century Gothic" w:hAnsi="Century Gothic"/>
                <w:szCs w:val="20"/>
                <w:lang w:val="sr-Cyrl-RS"/>
              </w:rPr>
              <w:t xml:space="preserve"> 14</w:t>
            </w:r>
          </w:p>
        </w:tc>
        <w:tc>
          <w:tcPr>
            <w:tcW w:w="845" w:type="dxa"/>
            <w:shd w:val="clear" w:color="auto" w:fill="auto"/>
          </w:tcPr>
          <w:p w:rsidR="004D2CA5" w:rsidRPr="00AB26AA" w:rsidRDefault="004D2CA5" w:rsidP="00B03CC0">
            <w:pPr>
              <w:spacing w:after="0" w:line="240" w:lineRule="auto"/>
              <w:ind w:right="46"/>
              <w:jc w:val="right"/>
              <w:rPr>
                <w:rFonts w:ascii="Century Gothic" w:hAnsi="Century Gothic"/>
                <w:szCs w:val="20"/>
                <w:lang w:val="sr-Cyrl-RS"/>
              </w:rPr>
            </w:pPr>
            <w:r w:rsidRPr="00AB26AA">
              <w:rPr>
                <w:rFonts w:ascii="Century Gothic" w:hAnsi="Century Gothic"/>
                <w:szCs w:val="20"/>
                <w:lang w:val="sr-Cyrl-RS"/>
              </w:rPr>
              <w:t>79</w:t>
            </w:r>
          </w:p>
        </w:tc>
        <w:tc>
          <w:tcPr>
            <w:tcW w:w="845" w:type="dxa"/>
            <w:shd w:val="clear" w:color="auto" w:fill="auto"/>
          </w:tcPr>
          <w:p w:rsidR="004D2CA5" w:rsidRPr="00AB26AA" w:rsidRDefault="004D2CA5" w:rsidP="00B03CC0">
            <w:pPr>
              <w:spacing w:after="0" w:line="240" w:lineRule="auto"/>
              <w:ind w:right="46"/>
              <w:jc w:val="right"/>
              <w:rPr>
                <w:rFonts w:ascii="Century Gothic" w:hAnsi="Century Gothic"/>
                <w:szCs w:val="20"/>
                <w:lang w:val="sr-Cyrl-RS"/>
              </w:rPr>
            </w:pPr>
            <w:r w:rsidRPr="00AB26AA">
              <w:rPr>
                <w:rFonts w:ascii="Century Gothic" w:hAnsi="Century Gothic"/>
                <w:szCs w:val="20"/>
                <w:lang w:val="sr-Cyrl-RS"/>
              </w:rPr>
              <w:t>0</w:t>
            </w:r>
          </w:p>
        </w:tc>
        <w:tc>
          <w:tcPr>
            <w:tcW w:w="845" w:type="dxa"/>
            <w:shd w:val="clear" w:color="auto" w:fill="auto"/>
          </w:tcPr>
          <w:p w:rsidR="004D2CA5" w:rsidRPr="00AB26AA" w:rsidRDefault="004D2CA5" w:rsidP="00B03CC0">
            <w:pPr>
              <w:spacing w:after="0" w:line="240" w:lineRule="auto"/>
              <w:ind w:right="46"/>
              <w:jc w:val="right"/>
              <w:rPr>
                <w:rFonts w:ascii="Century Gothic" w:hAnsi="Century Gothic"/>
                <w:szCs w:val="20"/>
                <w:lang w:val="sr-Cyrl-RS"/>
              </w:rPr>
            </w:pPr>
            <w:r w:rsidRPr="00AB26AA">
              <w:rPr>
                <w:rFonts w:ascii="Century Gothic" w:hAnsi="Century Gothic"/>
                <w:szCs w:val="20"/>
                <w:lang w:val="sr-Cyrl-RS"/>
              </w:rPr>
              <w:t>26</w:t>
            </w:r>
          </w:p>
        </w:tc>
      </w:tr>
      <w:tr w:rsidR="004D2CA5" w:rsidRPr="00AB26AA" w:rsidTr="00B03CC0">
        <w:trPr>
          <w:trHeight w:val="271"/>
          <w:jc w:val="center"/>
        </w:trPr>
        <w:tc>
          <w:tcPr>
            <w:tcW w:w="1984" w:type="dxa"/>
            <w:tcBorders>
              <w:right w:val="single" w:sz="4" w:space="0" w:color="7F7F7F"/>
            </w:tcBorders>
            <w:shd w:val="clear" w:color="auto" w:fill="FFFFFF"/>
          </w:tcPr>
          <w:p w:rsidR="004D2CA5" w:rsidRPr="00AB26AA" w:rsidRDefault="004D2CA5" w:rsidP="00B03CC0">
            <w:pPr>
              <w:spacing w:after="0" w:line="240" w:lineRule="auto"/>
              <w:ind w:right="48"/>
              <w:jc w:val="right"/>
              <w:rPr>
                <w:rFonts w:ascii="Century Gothic" w:hAnsi="Century Gothic"/>
                <w:iCs/>
                <w:szCs w:val="20"/>
                <w:lang w:val="sr-Cyrl-RS"/>
              </w:rPr>
            </w:pPr>
            <w:r w:rsidRPr="00AB26AA">
              <w:rPr>
                <w:rFonts w:ascii="Century Gothic" w:hAnsi="Century Gothic"/>
                <w:iCs/>
                <w:szCs w:val="20"/>
                <w:lang w:val="sr-Cyrl-RS"/>
              </w:rPr>
              <w:t>Инциденција</w:t>
            </w:r>
          </w:p>
        </w:tc>
        <w:tc>
          <w:tcPr>
            <w:tcW w:w="799" w:type="dxa"/>
            <w:shd w:val="clear" w:color="auto" w:fill="auto"/>
          </w:tcPr>
          <w:p w:rsidR="004D2CA5" w:rsidRPr="00AB26AA" w:rsidRDefault="004D2CA5" w:rsidP="00B03CC0">
            <w:pPr>
              <w:spacing w:after="0" w:line="240" w:lineRule="auto"/>
              <w:ind w:right="43"/>
              <w:jc w:val="right"/>
              <w:rPr>
                <w:rFonts w:ascii="Century Gothic" w:hAnsi="Century Gothic"/>
                <w:szCs w:val="20"/>
                <w:lang w:val="sr-Cyrl-RS"/>
              </w:rPr>
            </w:pPr>
            <w:r w:rsidRPr="00AB26AA">
              <w:rPr>
                <w:rFonts w:ascii="Century Gothic" w:hAnsi="Century Gothic"/>
                <w:szCs w:val="20"/>
                <w:lang w:val="sr-Cyrl-RS"/>
              </w:rPr>
              <w:t>0,0</w:t>
            </w:r>
          </w:p>
        </w:tc>
        <w:tc>
          <w:tcPr>
            <w:tcW w:w="830" w:type="dxa"/>
            <w:shd w:val="clear" w:color="auto" w:fill="auto"/>
          </w:tcPr>
          <w:p w:rsidR="004D2CA5" w:rsidRPr="00AB26AA" w:rsidRDefault="004D2CA5" w:rsidP="00B03CC0">
            <w:pPr>
              <w:spacing w:after="0" w:line="240" w:lineRule="auto"/>
              <w:ind w:right="45"/>
              <w:jc w:val="right"/>
              <w:rPr>
                <w:rFonts w:ascii="Century Gothic" w:hAnsi="Century Gothic"/>
                <w:szCs w:val="20"/>
                <w:lang w:val="sr-Cyrl-RS"/>
              </w:rPr>
            </w:pPr>
            <w:r w:rsidRPr="00AB26AA">
              <w:rPr>
                <w:rFonts w:ascii="Century Gothic" w:hAnsi="Century Gothic"/>
                <w:szCs w:val="20"/>
                <w:lang w:val="sr-Cyrl-RS"/>
              </w:rPr>
              <w:t>&lt;0,1</w:t>
            </w:r>
          </w:p>
        </w:tc>
        <w:tc>
          <w:tcPr>
            <w:tcW w:w="799" w:type="dxa"/>
            <w:shd w:val="clear" w:color="auto" w:fill="auto"/>
          </w:tcPr>
          <w:p w:rsidR="004D2CA5" w:rsidRPr="00AB26AA" w:rsidRDefault="004D2CA5" w:rsidP="00B03CC0">
            <w:pPr>
              <w:spacing w:after="0" w:line="240" w:lineRule="auto"/>
              <w:ind w:right="45"/>
              <w:jc w:val="right"/>
              <w:rPr>
                <w:rFonts w:ascii="Century Gothic" w:hAnsi="Century Gothic"/>
                <w:szCs w:val="20"/>
                <w:lang w:val="sr-Cyrl-RS"/>
              </w:rPr>
            </w:pPr>
            <w:r w:rsidRPr="00AB26AA">
              <w:rPr>
                <w:rFonts w:ascii="Century Gothic" w:hAnsi="Century Gothic"/>
                <w:szCs w:val="20"/>
                <w:lang w:val="sr-Cyrl-RS"/>
              </w:rPr>
              <w:t>0,0</w:t>
            </w:r>
          </w:p>
        </w:tc>
        <w:tc>
          <w:tcPr>
            <w:tcW w:w="799" w:type="dxa"/>
            <w:shd w:val="clear" w:color="auto" w:fill="auto"/>
          </w:tcPr>
          <w:p w:rsidR="004D2CA5" w:rsidRPr="00AB26AA" w:rsidRDefault="004D2CA5" w:rsidP="00B03CC0">
            <w:pPr>
              <w:spacing w:after="0" w:line="240" w:lineRule="auto"/>
              <w:ind w:right="42"/>
              <w:jc w:val="right"/>
              <w:rPr>
                <w:rFonts w:ascii="Century Gothic" w:hAnsi="Century Gothic"/>
                <w:szCs w:val="20"/>
                <w:lang w:val="sr-Cyrl-RS"/>
              </w:rPr>
            </w:pPr>
            <w:r w:rsidRPr="00AB26AA">
              <w:rPr>
                <w:rFonts w:ascii="Century Gothic" w:hAnsi="Century Gothic"/>
                <w:szCs w:val="20"/>
                <w:lang w:val="sr-Cyrl-RS"/>
              </w:rPr>
              <w:t>0,2</w:t>
            </w:r>
          </w:p>
        </w:tc>
        <w:tc>
          <w:tcPr>
            <w:tcW w:w="799" w:type="dxa"/>
            <w:shd w:val="clear" w:color="auto" w:fill="auto"/>
          </w:tcPr>
          <w:p w:rsidR="004D2CA5" w:rsidRPr="00AB26AA" w:rsidRDefault="004D2CA5" w:rsidP="00B03CC0">
            <w:pPr>
              <w:spacing w:after="0" w:line="240" w:lineRule="auto"/>
              <w:ind w:right="44"/>
              <w:jc w:val="right"/>
              <w:rPr>
                <w:rFonts w:ascii="Century Gothic" w:hAnsi="Century Gothic"/>
                <w:szCs w:val="20"/>
                <w:lang w:val="sr-Cyrl-RS"/>
              </w:rPr>
            </w:pPr>
            <w:r w:rsidRPr="00AB26AA">
              <w:rPr>
                <w:rFonts w:ascii="Century Gothic" w:hAnsi="Century Gothic"/>
                <w:szCs w:val="20"/>
                <w:lang w:val="sr-Cyrl-RS"/>
              </w:rPr>
              <w:t>0,0</w:t>
            </w:r>
          </w:p>
        </w:tc>
        <w:tc>
          <w:tcPr>
            <w:tcW w:w="845" w:type="dxa"/>
            <w:shd w:val="clear" w:color="auto" w:fill="auto"/>
          </w:tcPr>
          <w:p w:rsidR="004D2CA5" w:rsidRPr="00AB26AA" w:rsidRDefault="004D2CA5" w:rsidP="00B03CC0">
            <w:pPr>
              <w:spacing w:after="0" w:line="240" w:lineRule="auto"/>
              <w:ind w:right="46"/>
              <w:jc w:val="right"/>
              <w:rPr>
                <w:rFonts w:ascii="Century Gothic" w:hAnsi="Century Gothic"/>
                <w:szCs w:val="20"/>
                <w:lang w:val="sr-Cyrl-RS"/>
              </w:rPr>
            </w:pPr>
            <w:r w:rsidRPr="00AB26AA">
              <w:rPr>
                <w:rFonts w:ascii="Century Gothic" w:hAnsi="Century Gothic"/>
                <w:szCs w:val="20"/>
                <w:lang w:val="sr-Cyrl-RS"/>
              </w:rPr>
              <w:t>&lt;0,1</w:t>
            </w:r>
          </w:p>
        </w:tc>
        <w:tc>
          <w:tcPr>
            <w:tcW w:w="845" w:type="dxa"/>
            <w:shd w:val="clear" w:color="auto" w:fill="auto"/>
          </w:tcPr>
          <w:p w:rsidR="004D2CA5" w:rsidRPr="00AB26AA" w:rsidRDefault="004D2CA5" w:rsidP="00B03CC0">
            <w:pPr>
              <w:spacing w:after="0" w:line="240" w:lineRule="auto"/>
              <w:ind w:right="46"/>
              <w:jc w:val="right"/>
              <w:rPr>
                <w:rFonts w:ascii="Century Gothic" w:hAnsi="Century Gothic"/>
                <w:szCs w:val="20"/>
                <w:lang w:val="sr-Cyrl-RS"/>
              </w:rPr>
            </w:pPr>
            <w:r w:rsidRPr="00AB26AA">
              <w:rPr>
                <w:rFonts w:ascii="Century Gothic" w:hAnsi="Century Gothic"/>
                <w:szCs w:val="20"/>
                <w:lang w:val="sr-Cyrl-RS"/>
              </w:rPr>
              <w:t xml:space="preserve"> 0,7</w:t>
            </w:r>
          </w:p>
        </w:tc>
        <w:tc>
          <w:tcPr>
            <w:tcW w:w="845" w:type="dxa"/>
            <w:shd w:val="clear" w:color="auto" w:fill="auto"/>
          </w:tcPr>
          <w:p w:rsidR="004D2CA5" w:rsidRPr="00AB26AA" w:rsidRDefault="004D2CA5" w:rsidP="00B03CC0">
            <w:pPr>
              <w:spacing w:after="0" w:line="240" w:lineRule="auto"/>
              <w:ind w:right="46"/>
              <w:jc w:val="right"/>
              <w:rPr>
                <w:rFonts w:ascii="Century Gothic" w:hAnsi="Century Gothic"/>
                <w:szCs w:val="20"/>
                <w:lang w:val="sr-Cyrl-RS"/>
              </w:rPr>
            </w:pPr>
            <w:r w:rsidRPr="00AB26AA">
              <w:rPr>
                <w:rFonts w:ascii="Century Gothic" w:hAnsi="Century Gothic"/>
                <w:szCs w:val="20"/>
                <w:lang w:val="sr-Cyrl-RS"/>
              </w:rPr>
              <w:t>4,1</w:t>
            </w:r>
          </w:p>
        </w:tc>
        <w:tc>
          <w:tcPr>
            <w:tcW w:w="845" w:type="dxa"/>
            <w:shd w:val="clear" w:color="auto" w:fill="auto"/>
          </w:tcPr>
          <w:p w:rsidR="004D2CA5" w:rsidRPr="00AB26AA" w:rsidRDefault="004D2CA5" w:rsidP="00B03CC0">
            <w:pPr>
              <w:spacing w:after="0" w:line="240" w:lineRule="auto"/>
              <w:ind w:right="46"/>
              <w:jc w:val="right"/>
              <w:rPr>
                <w:rFonts w:ascii="Century Gothic" w:hAnsi="Century Gothic"/>
                <w:szCs w:val="20"/>
                <w:lang w:val="sr-Cyrl-RS"/>
              </w:rPr>
            </w:pPr>
            <w:r w:rsidRPr="00AB26AA">
              <w:rPr>
                <w:rFonts w:ascii="Century Gothic" w:hAnsi="Century Gothic"/>
                <w:szCs w:val="20"/>
                <w:lang w:val="sr-Cyrl-RS"/>
              </w:rPr>
              <w:t>0,0</w:t>
            </w:r>
          </w:p>
        </w:tc>
        <w:tc>
          <w:tcPr>
            <w:tcW w:w="845" w:type="dxa"/>
            <w:shd w:val="clear" w:color="auto" w:fill="auto"/>
          </w:tcPr>
          <w:p w:rsidR="004D2CA5" w:rsidRPr="00AB26AA" w:rsidRDefault="004D2CA5" w:rsidP="00B03CC0">
            <w:pPr>
              <w:spacing w:after="0" w:line="240" w:lineRule="auto"/>
              <w:ind w:right="46"/>
              <w:jc w:val="right"/>
              <w:rPr>
                <w:rFonts w:ascii="Century Gothic" w:hAnsi="Century Gothic"/>
                <w:szCs w:val="20"/>
                <w:lang w:val="sr-Cyrl-RS"/>
              </w:rPr>
            </w:pPr>
            <w:r w:rsidRPr="00AB26AA">
              <w:rPr>
                <w:rFonts w:ascii="Century Gothic" w:hAnsi="Century Gothic"/>
                <w:szCs w:val="20"/>
                <w:lang w:val="sr-Cyrl-RS"/>
              </w:rPr>
              <w:t>1,3</w:t>
            </w:r>
          </w:p>
        </w:tc>
      </w:tr>
    </w:tbl>
    <w:p w:rsidR="00EB7451" w:rsidRPr="00AB26AA" w:rsidRDefault="00EB7451" w:rsidP="00EB7451">
      <w:pPr>
        <w:spacing w:after="0"/>
        <w:rPr>
          <w:rFonts w:ascii="Century Gothic" w:hAnsi="Century Gothic" w:cs="Tahoma"/>
          <w:noProof w:val="0"/>
          <w:szCs w:val="20"/>
          <w:lang w:val="sr-Cyrl-RS"/>
        </w:rPr>
      </w:pPr>
    </w:p>
    <w:p w:rsidR="00EB7451" w:rsidRDefault="00EB7451" w:rsidP="00B03CC0">
      <w:pPr>
        <w:autoSpaceDE w:val="0"/>
        <w:autoSpaceDN w:val="0"/>
        <w:adjustRightInd w:val="0"/>
        <w:rPr>
          <w:rFonts w:ascii="Century Gothic" w:hAnsi="Century Gothic" w:cs="Tahoma"/>
          <w:noProof w:val="0"/>
          <w:szCs w:val="20"/>
          <w:lang w:val="sr-Cyrl-RS"/>
        </w:rPr>
      </w:pPr>
    </w:p>
    <w:p w:rsidR="00BD1967" w:rsidRPr="009254FB" w:rsidRDefault="00BD1967" w:rsidP="00BD1967">
      <w:pPr>
        <w:pStyle w:val="Heading2"/>
        <w:rPr>
          <w:rFonts w:ascii="Century Gothic" w:hAnsi="Century Gothic"/>
          <w:b/>
          <w:sz w:val="22"/>
          <w:szCs w:val="22"/>
          <w:lang w:val="sr-Cyrl-RS"/>
        </w:rPr>
      </w:pPr>
      <w:bookmarkStart w:id="16" w:name="_Toc389134505"/>
      <w:bookmarkStart w:id="17" w:name="_Toc515520291"/>
      <w:bookmarkStart w:id="18" w:name="_Toc515524133"/>
      <w:r w:rsidRPr="009254FB">
        <w:rPr>
          <w:rFonts w:ascii="Century Gothic" w:hAnsi="Century Gothic"/>
          <w:b/>
          <w:sz w:val="22"/>
          <w:szCs w:val="22"/>
          <w:lang w:val="sr-Cyrl-RS"/>
        </w:rPr>
        <w:t>Pertussis</w:t>
      </w:r>
      <w:bookmarkEnd w:id="16"/>
      <w:bookmarkEnd w:id="17"/>
      <w:bookmarkEnd w:id="18"/>
      <w:r w:rsidRPr="009254FB">
        <w:rPr>
          <w:rFonts w:ascii="Century Gothic" w:hAnsi="Century Gothic"/>
          <w:b/>
          <w:sz w:val="22"/>
          <w:szCs w:val="22"/>
          <w:lang w:val="sr-Cyrl-RS"/>
        </w:rPr>
        <w:t xml:space="preserve"> </w:t>
      </w:r>
    </w:p>
    <w:p w:rsidR="00BD1967" w:rsidRPr="00AB26AA" w:rsidRDefault="00BD1967" w:rsidP="00016E48">
      <w:pPr>
        <w:spacing w:after="0" w:line="276" w:lineRule="auto"/>
        <w:ind w:right="4"/>
        <w:rPr>
          <w:rStyle w:val="Emphasis"/>
          <w:rFonts w:ascii="Century Gothic" w:hAnsi="Century Gothic"/>
          <w:i w:val="0"/>
          <w:color w:val="auto"/>
          <w:lang w:val="sr-Cyrl-RS"/>
        </w:rPr>
      </w:pPr>
      <w:r w:rsidRPr="00016E48">
        <w:rPr>
          <w:rStyle w:val="Emphasis"/>
          <w:rFonts w:ascii="Century Gothic" w:hAnsi="Century Gothic"/>
          <w:i w:val="0"/>
          <w:color w:val="auto"/>
          <w:lang w:val="sr-Cyrl-RS"/>
        </w:rPr>
        <w:t>Pertussis (велики кашаљ) се у Војводини, као и у читавој нашој земљи, обавезно пријављује од 1948. године. Обавезна имунизација против пертусиса уведена је 1960. године. Мада је увођење имунизације пратило значајно смањење оболевања, пертусис је више од две деценије вакциналног периода задржао цикличан ток и ендемо-епидемијски карактер Пораст обухвата имунизацијом пратио је даљи пад инциденције, а обољење је регистровано углавном код неимунизоване деце, млађе од годину дана. У складу са епидемиолошком ситуацијом и падом учесталости пертусиса, укинута је ревакцинација у четвртој години, а у циљу постизања брже заштите новорођене деце, почетак имунизације је померен са трећег на други месец живота.</w:t>
      </w:r>
      <w:r w:rsidRPr="00AB26AA">
        <w:rPr>
          <w:rStyle w:val="Emphasis"/>
          <w:rFonts w:ascii="Century Gothic" w:hAnsi="Century Gothic"/>
          <w:i w:val="0"/>
          <w:color w:val="auto"/>
          <w:lang w:val="sr-Cyrl-RS"/>
        </w:rPr>
        <w:t xml:space="preserve"> </w:t>
      </w:r>
    </w:p>
    <w:p w:rsidR="00BD1967" w:rsidRPr="00AB26AA" w:rsidRDefault="00BD1967" w:rsidP="00BD1967">
      <w:pPr>
        <w:pStyle w:val="Caption"/>
        <w:spacing w:after="160"/>
        <w:rPr>
          <w:rFonts w:ascii="Century Gothic" w:hAnsi="Century Gothic"/>
          <w:lang w:val="sr-Cyrl-RS"/>
        </w:rPr>
      </w:pPr>
    </w:p>
    <w:p w:rsidR="00BD1967" w:rsidRPr="007D7199" w:rsidRDefault="00BD1967" w:rsidP="00BD1967">
      <w:pPr>
        <w:pStyle w:val="Caption"/>
        <w:spacing w:after="160"/>
        <w:jc w:val="left"/>
        <w:rPr>
          <w:rFonts w:ascii="Century Gothic" w:hAnsi="Century Gothic"/>
          <w:lang w:val="sr-Cyrl-RS"/>
        </w:rPr>
      </w:pPr>
      <w:r w:rsidRPr="007D7199">
        <w:rPr>
          <w:rFonts w:ascii="Century Gothic" w:hAnsi="Century Gothic"/>
          <w:lang w:val="sr-Cyrl-RS"/>
        </w:rPr>
        <w:lastRenderedPageBreak/>
        <w:t xml:space="preserve">Графикон </w:t>
      </w:r>
      <w:r w:rsidR="00073649">
        <w:rPr>
          <w:rFonts w:ascii="Century Gothic" w:hAnsi="Century Gothic"/>
          <w:lang w:val="sr-Cyrl-RS"/>
        </w:rPr>
        <w:t>3</w:t>
      </w:r>
      <w:r>
        <w:rPr>
          <w:rFonts w:ascii="Century Gothic" w:hAnsi="Century Gothic"/>
        </w:rPr>
        <w:t>.</w:t>
      </w:r>
      <w:r w:rsidRPr="007D7199">
        <w:rPr>
          <w:rFonts w:ascii="Century Gothic" w:hAnsi="Century Gothic"/>
          <w:lang w:val="sr-Cyrl-RS"/>
        </w:rPr>
        <w:t xml:space="preserve"> Pertussis у АП Војводини у периоду од 1948. до 2017. године</w:t>
      </w:r>
      <w:r w:rsidRPr="007D7199">
        <w:t xml:space="preserve"> </w:t>
      </w:r>
      <w:r>
        <w:rPr>
          <w:lang w:eastAsia="en-US"/>
        </w:rPr>
        <w:drawing>
          <wp:inline distT="0" distB="0" distL="0" distR="0" wp14:anchorId="337CA9E4" wp14:editId="508E6AB7">
            <wp:extent cx="5975985" cy="3060700"/>
            <wp:effectExtent l="0" t="0" r="0" b="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D1967" w:rsidRPr="00AB26AA" w:rsidRDefault="00BD1967" w:rsidP="00BD1967">
      <w:pPr>
        <w:rPr>
          <w:rFonts w:ascii="Century Gothic" w:hAnsi="Century Gothic"/>
          <w:lang w:val="sr-Cyrl-RS"/>
        </w:rPr>
      </w:pPr>
      <w:r w:rsidRPr="00AB26AA">
        <w:rPr>
          <w:rFonts w:ascii="Century Gothic" w:hAnsi="Century Gothic"/>
          <w:lang w:val="sr-Cyrl-RS"/>
        </w:rPr>
        <w:t xml:space="preserve">Увођењем унапређеног надзора над пертусисом у оквиру Програма, који је подржан од стране Покрајинског секретаријата за здравство, социјалну политику и демографију Војводине, остварени су предуслови за стицање увида у реалнију епидемиолошку ситуацију пертусиса у Покрајини. Добијени резултати током шестогодишњег периода спровођења надзора указују да је пертусис у АП Војводини задржао ендемо-епидемијски карактер. Највећи број оболелих је регистрован 2014. године када је пријављено 247 оболелих особа (Инц.12,8/100.000) и 2017. године са 235 оболелих и стопом инциденције од 12,2/100.000 (табела </w:t>
      </w:r>
      <w:r w:rsidR="00073649">
        <w:rPr>
          <w:rFonts w:ascii="Century Gothic" w:hAnsi="Century Gothic"/>
        </w:rPr>
        <w:t>5</w:t>
      </w:r>
      <w:r w:rsidRPr="00AB26AA">
        <w:rPr>
          <w:rFonts w:ascii="Century Gothic" w:hAnsi="Century Gothic"/>
          <w:lang w:val="sr-Cyrl-RS"/>
        </w:rPr>
        <w:t xml:space="preserve">). </w:t>
      </w:r>
    </w:p>
    <w:p w:rsidR="00BD1967" w:rsidRPr="00AB26AA" w:rsidRDefault="00BD1967" w:rsidP="00BD1967">
      <w:pPr>
        <w:pStyle w:val="Caption"/>
        <w:spacing w:after="160"/>
        <w:rPr>
          <w:rFonts w:ascii="Century Gothic" w:hAnsi="Century Gothic"/>
          <w:lang w:val="sr-Cyrl-RS"/>
        </w:rPr>
      </w:pPr>
      <w:r w:rsidRPr="00AB26AA">
        <w:rPr>
          <w:rFonts w:ascii="Century Gothic" w:hAnsi="Century Gothic"/>
          <w:lang w:val="sr-Cyrl-RS"/>
        </w:rPr>
        <w:t xml:space="preserve">Табела </w:t>
      </w:r>
      <w:r w:rsidR="00073649">
        <w:rPr>
          <w:rFonts w:ascii="Century Gothic" w:hAnsi="Century Gothic"/>
        </w:rPr>
        <w:t>5</w:t>
      </w:r>
      <w:r>
        <w:rPr>
          <w:rFonts w:ascii="Century Gothic" w:hAnsi="Century Gothic"/>
        </w:rPr>
        <w:t>.</w:t>
      </w:r>
      <w:r w:rsidRPr="00AB26AA">
        <w:rPr>
          <w:rFonts w:ascii="Century Gothic" w:hAnsi="Century Gothic"/>
          <w:lang w:val="sr-Cyrl-RS"/>
        </w:rPr>
        <w:t xml:space="preserve"> Pertussis у АП Војводини у периоду од 2008. до 2017. године </w:t>
      </w:r>
    </w:p>
    <w:tbl>
      <w:tblPr>
        <w:tblW w:w="8865" w:type="dxa"/>
        <w:jc w:val="center"/>
        <w:tblLook w:val="06A0" w:firstRow="1" w:lastRow="0" w:firstColumn="1" w:lastColumn="0" w:noHBand="1" w:noVBand="1"/>
      </w:tblPr>
      <w:tblGrid>
        <w:gridCol w:w="1623"/>
        <w:gridCol w:w="747"/>
        <w:gridCol w:w="696"/>
        <w:gridCol w:w="696"/>
        <w:gridCol w:w="694"/>
        <w:gridCol w:w="746"/>
        <w:gridCol w:w="711"/>
        <w:gridCol w:w="711"/>
        <w:gridCol w:w="711"/>
        <w:gridCol w:w="765"/>
        <w:gridCol w:w="765"/>
      </w:tblGrid>
      <w:tr w:rsidR="00BD1967" w:rsidRPr="00AB26AA" w:rsidTr="0097777F">
        <w:trPr>
          <w:trHeight w:val="115"/>
          <w:jc w:val="center"/>
        </w:trPr>
        <w:tc>
          <w:tcPr>
            <w:tcW w:w="1624" w:type="dxa"/>
            <w:tcBorders>
              <w:right w:val="nil"/>
            </w:tcBorders>
            <w:shd w:val="clear" w:color="auto" w:fill="3494BA"/>
          </w:tcPr>
          <w:p w:rsidR="00BD1967" w:rsidRPr="00AB26AA" w:rsidRDefault="00BD1967" w:rsidP="0097777F">
            <w:pPr>
              <w:spacing w:after="0" w:line="259" w:lineRule="auto"/>
              <w:jc w:val="right"/>
              <w:rPr>
                <w:rFonts w:ascii="Century Gothic" w:hAnsi="Century Gothic"/>
                <w:b/>
                <w:iCs/>
                <w:color w:val="FFFFFF"/>
                <w:szCs w:val="20"/>
                <w:lang w:val="sr-Cyrl-RS"/>
              </w:rPr>
            </w:pPr>
            <w:r w:rsidRPr="00AB26AA">
              <w:rPr>
                <w:rFonts w:ascii="Century Gothic" w:hAnsi="Century Gothic"/>
                <w:b/>
                <w:iCs/>
                <w:color w:val="F2F2F2"/>
                <w:szCs w:val="20"/>
                <w:lang w:val="sr-Cyrl-RS"/>
              </w:rPr>
              <w:t xml:space="preserve">Година </w:t>
            </w:r>
          </w:p>
        </w:tc>
        <w:tc>
          <w:tcPr>
            <w:tcW w:w="751" w:type="dxa"/>
            <w:shd w:val="clear" w:color="auto" w:fill="3494BA"/>
          </w:tcPr>
          <w:p w:rsidR="00BD1967" w:rsidRPr="00AB26AA" w:rsidRDefault="00BD1967" w:rsidP="0097777F">
            <w:pPr>
              <w:spacing w:after="0" w:line="259" w:lineRule="auto"/>
              <w:jc w:val="right"/>
              <w:rPr>
                <w:rFonts w:ascii="Century Gothic" w:hAnsi="Century Gothic"/>
                <w:b/>
                <w:iCs/>
                <w:color w:val="FFFFFF"/>
                <w:szCs w:val="20"/>
                <w:lang w:val="sr-Cyrl-RS"/>
              </w:rPr>
            </w:pPr>
            <w:r w:rsidRPr="00AB26AA">
              <w:rPr>
                <w:rFonts w:ascii="Century Gothic" w:hAnsi="Century Gothic"/>
                <w:b/>
                <w:iCs/>
                <w:color w:val="F2F2F2"/>
                <w:szCs w:val="20"/>
                <w:lang w:val="sr-Cyrl-RS"/>
              </w:rPr>
              <w:t xml:space="preserve">2008 </w:t>
            </w:r>
          </w:p>
        </w:tc>
        <w:tc>
          <w:tcPr>
            <w:tcW w:w="694" w:type="dxa"/>
            <w:shd w:val="clear" w:color="auto" w:fill="3494BA"/>
          </w:tcPr>
          <w:p w:rsidR="00BD1967" w:rsidRPr="00AB26AA" w:rsidRDefault="00BD1967" w:rsidP="0097777F">
            <w:pPr>
              <w:spacing w:after="0" w:line="259" w:lineRule="auto"/>
              <w:ind w:left="31"/>
              <w:jc w:val="right"/>
              <w:rPr>
                <w:rFonts w:ascii="Century Gothic" w:hAnsi="Century Gothic"/>
                <w:b/>
                <w:iCs/>
                <w:color w:val="FFFFFF"/>
                <w:szCs w:val="20"/>
                <w:lang w:val="sr-Cyrl-RS"/>
              </w:rPr>
            </w:pPr>
            <w:r w:rsidRPr="00AB26AA">
              <w:rPr>
                <w:rFonts w:ascii="Century Gothic" w:hAnsi="Century Gothic"/>
                <w:b/>
                <w:iCs/>
                <w:color w:val="F2F2F2"/>
                <w:szCs w:val="20"/>
                <w:lang w:val="sr-Cyrl-RS"/>
              </w:rPr>
              <w:t xml:space="preserve">2009 </w:t>
            </w:r>
          </w:p>
        </w:tc>
        <w:tc>
          <w:tcPr>
            <w:tcW w:w="697" w:type="dxa"/>
            <w:shd w:val="clear" w:color="auto" w:fill="3494BA"/>
          </w:tcPr>
          <w:p w:rsidR="00BD1967" w:rsidRPr="00AB26AA" w:rsidRDefault="00BD1967" w:rsidP="0097777F">
            <w:pPr>
              <w:spacing w:after="0" w:line="259" w:lineRule="auto"/>
              <w:jc w:val="right"/>
              <w:rPr>
                <w:rFonts w:ascii="Century Gothic" w:hAnsi="Century Gothic"/>
                <w:b/>
                <w:iCs/>
                <w:color w:val="FFFFFF"/>
                <w:szCs w:val="20"/>
                <w:lang w:val="sr-Cyrl-RS"/>
              </w:rPr>
            </w:pPr>
            <w:r w:rsidRPr="00AB26AA">
              <w:rPr>
                <w:rFonts w:ascii="Century Gothic" w:hAnsi="Century Gothic"/>
                <w:b/>
                <w:iCs/>
                <w:color w:val="F2F2F2"/>
                <w:szCs w:val="20"/>
                <w:lang w:val="sr-Cyrl-RS"/>
              </w:rPr>
              <w:t xml:space="preserve">2010 </w:t>
            </w:r>
          </w:p>
        </w:tc>
        <w:tc>
          <w:tcPr>
            <w:tcW w:w="695" w:type="dxa"/>
            <w:shd w:val="clear" w:color="auto" w:fill="3494BA"/>
          </w:tcPr>
          <w:p w:rsidR="00BD1967" w:rsidRPr="00AB26AA" w:rsidRDefault="00BD1967" w:rsidP="0097777F">
            <w:pPr>
              <w:spacing w:after="0" w:line="259" w:lineRule="auto"/>
              <w:jc w:val="right"/>
              <w:rPr>
                <w:rFonts w:ascii="Century Gothic" w:hAnsi="Century Gothic"/>
                <w:b/>
                <w:iCs/>
                <w:color w:val="FFFFFF"/>
                <w:szCs w:val="20"/>
                <w:lang w:val="sr-Cyrl-RS"/>
              </w:rPr>
            </w:pPr>
            <w:r w:rsidRPr="00AB26AA">
              <w:rPr>
                <w:rFonts w:ascii="Century Gothic" w:hAnsi="Century Gothic"/>
                <w:b/>
                <w:iCs/>
                <w:color w:val="F2F2F2"/>
                <w:szCs w:val="20"/>
                <w:lang w:val="sr-Cyrl-RS"/>
              </w:rPr>
              <w:t xml:space="preserve">2011 </w:t>
            </w:r>
          </w:p>
        </w:tc>
        <w:tc>
          <w:tcPr>
            <w:tcW w:w="750" w:type="dxa"/>
            <w:shd w:val="clear" w:color="auto" w:fill="3494BA"/>
          </w:tcPr>
          <w:p w:rsidR="00BD1967" w:rsidRPr="00AB26AA" w:rsidRDefault="00BD1967" w:rsidP="0097777F">
            <w:pPr>
              <w:spacing w:after="0" w:line="259" w:lineRule="auto"/>
              <w:jc w:val="right"/>
              <w:rPr>
                <w:rFonts w:ascii="Century Gothic" w:hAnsi="Century Gothic"/>
                <w:b/>
                <w:iCs/>
                <w:color w:val="FFFFFF"/>
                <w:szCs w:val="20"/>
                <w:lang w:val="sr-Cyrl-RS"/>
              </w:rPr>
            </w:pPr>
            <w:r w:rsidRPr="00AB26AA">
              <w:rPr>
                <w:rFonts w:ascii="Century Gothic" w:hAnsi="Century Gothic"/>
                <w:b/>
                <w:iCs/>
                <w:color w:val="F2F2F2"/>
                <w:szCs w:val="20"/>
                <w:lang w:val="sr-Cyrl-RS"/>
              </w:rPr>
              <w:t xml:space="preserve">2012 </w:t>
            </w:r>
          </w:p>
        </w:tc>
        <w:tc>
          <w:tcPr>
            <w:tcW w:w="696" w:type="dxa"/>
            <w:shd w:val="clear" w:color="auto" w:fill="3494BA"/>
          </w:tcPr>
          <w:p w:rsidR="00BD1967" w:rsidRPr="00AB26AA" w:rsidRDefault="00BD1967" w:rsidP="0097777F">
            <w:pPr>
              <w:spacing w:after="0" w:line="259" w:lineRule="auto"/>
              <w:ind w:right="46"/>
              <w:jc w:val="right"/>
              <w:rPr>
                <w:rFonts w:ascii="Century Gothic" w:hAnsi="Century Gothic"/>
                <w:b/>
                <w:iCs/>
                <w:color w:val="FFFFFF"/>
                <w:szCs w:val="20"/>
                <w:lang w:val="sr-Cyrl-RS"/>
              </w:rPr>
            </w:pPr>
            <w:r w:rsidRPr="00AB26AA">
              <w:rPr>
                <w:rFonts w:ascii="Century Gothic" w:hAnsi="Century Gothic"/>
                <w:b/>
                <w:iCs/>
                <w:color w:val="F2F2F2"/>
                <w:szCs w:val="20"/>
                <w:lang w:val="sr-Cyrl-RS"/>
              </w:rPr>
              <w:t xml:space="preserve">2013 </w:t>
            </w:r>
          </w:p>
        </w:tc>
        <w:tc>
          <w:tcPr>
            <w:tcW w:w="711" w:type="dxa"/>
            <w:shd w:val="clear" w:color="auto" w:fill="3494BA"/>
          </w:tcPr>
          <w:p w:rsidR="00BD1967" w:rsidRPr="00AB26AA" w:rsidRDefault="00BD1967" w:rsidP="0097777F">
            <w:pPr>
              <w:spacing w:after="0" w:line="259" w:lineRule="auto"/>
              <w:ind w:right="46"/>
              <w:jc w:val="right"/>
              <w:rPr>
                <w:rFonts w:ascii="Century Gothic" w:hAnsi="Century Gothic"/>
                <w:b/>
                <w:iCs/>
                <w:color w:val="F2F2F2"/>
                <w:szCs w:val="20"/>
                <w:lang w:val="sr-Cyrl-RS"/>
              </w:rPr>
            </w:pPr>
            <w:r w:rsidRPr="00AB26AA">
              <w:rPr>
                <w:rFonts w:ascii="Century Gothic" w:hAnsi="Century Gothic"/>
                <w:b/>
                <w:iCs/>
                <w:color w:val="F2F2F2"/>
                <w:szCs w:val="20"/>
                <w:lang w:val="sr-Cyrl-RS"/>
              </w:rPr>
              <w:t>2014</w:t>
            </w:r>
          </w:p>
        </w:tc>
        <w:tc>
          <w:tcPr>
            <w:tcW w:w="711" w:type="dxa"/>
            <w:shd w:val="clear" w:color="auto" w:fill="3494BA"/>
          </w:tcPr>
          <w:p w:rsidR="00BD1967" w:rsidRPr="00AB26AA" w:rsidRDefault="00BD1967" w:rsidP="0097777F">
            <w:pPr>
              <w:spacing w:after="0" w:line="259" w:lineRule="auto"/>
              <w:ind w:right="46"/>
              <w:jc w:val="right"/>
              <w:rPr>
                <w:rFonts w:ascii="Century Gothic" w:hAnsi="Century Gothic"/>
                <w:b/>
                <w:iCs/>
                <w:color w:val="F2F2F2"/>
                <w:szCs w:val="20"/>
                <w:lang w:val="sr-Cyrl-RS"/>
              </w:rPr>
            </w:pPr>
            <w:r w:rsidRPr="00AB26AA">
              <w:rPr>
                <w:rFonts w:ascii="Century Gothic" w:hAnsi="Century Gothic"/>
                <w:b/>
                <w:iCs/>
                <w:color w:val="F2F2F2"/>
                <w:szCs w:val="20"/>
                <w:lang w:val="sr-Cyrl-RS"/>
              </w:rPr>
              <w:t>2015</w:t>
            </w:r>
          </w:p>
        </w:tc>
        <w:tc>
          <w:tcPr>
            <w:tcW w:w="768" w:type="dxa"/>
            <w:shd w:val="clear" w:color="auto" w:fill="3494BA"/>
          </w:tcPr>
          <w:p w:rsidR="00BD1967" w:rsidRPr="00AB26AA" w:rsidRDefault="00BD1967" w:rsidP="0097777F">
            <w:pPr>
              <w:spacing w:after="0" w:line="259" w:lineRule="auto"/>
              <w:ind w:right="46"/>
              <w:jc w:val="right"/>
              <w:rPr>
                <w:rFonts w:ascii="Century Gothic" w:hAnsi="Century Gothic"/>
                <w:b/>
                <w:iCs/>
                <w:color w:val="F2F2F2"/>
                <w:szCs w:val="20"/>
                <w:lang w:val="sr-Cyrl-RS"/>
              </w:rPr>
            </w:pPr>
            <w:r w:rsidRPr="00AB26AA">
              <w:rPr>
                <w:rFonts w:ascii="Century Gothic" w:hAnsi="Century Gothic"/>
                <w:b/>
                <w:iCs/>
                <w:color w:val="F2F2F2"/>
                <w:szCs w:val="20"/>
                <w:lang w:val="sr-Cyrl-RS"/>
              </w:rPr>
              <w:t>2016</w:t>
            </w:r>
          </w:p>
        </w:tc>
        <w:tc>
          <w:tcPr>
            <w:tcW w:w="768" w:type="dxa"/>
            <w:shd w:val="clear" w:color="auto" w:fill="3494BA"/>
          </w:tcPr>
          <w:p w:rsidR="00BD1967" w:rsidRPr="00AB26AA" w:rsidRDefault="00BD1967" w:rsidP="0097777F">
            <w:pPr>
              <w:spacing w:after="0" w:line="259" w:lineRule="auto"/>
              <w:ind w:right="46"/>
              <w:jc w:val="right"/>
              <w:rPr>
                <w:rFonts w:ascii="Century Gothic" w:hAnsi="Century Gothic"/>
                <w:b/>
                <w:iCs/>
                <w:color w:val="F2F2F2"/>
                <w:szCs w:val="20"/>
                <w:lang w:val="sr-Cyrl-RS"/>
              </w:rPr>
            </w:pPr>
            <w:r w:rsidRPr="00AB26AA">
              <w:rPr>
                <w:rFonts w:ascii="Century Gothic" w:hAnsi="Century Gothic"/>
                <w:b/>
                <w:iCs/>
                <w:color w:val="F2F2F2"/>
                <w:szCs w:val="20"/>
                <w:lang w:val="sr-Cyrl-RS"/>
              </w:rPr>
              <w:t>2017</w:t>
            </w:r>
          </w:p>
        </w:tc>
      </w:tr>
      <w:tr w:rsidR="00BD1967" w:rsidRPr="00AB26AA" w:rsidTr="0097777F">
        <w:trPr>
          <w:trHeight w:val="265"/>
          <w:jc w:val="center"/>
        </w:trPr>
        <w:tc>
          <w:tcPr>
            <w:tcW w:w="1624" w:type="dxa"/>
            <w:tcBorders>
              <w:right w:val="single" w:sz="4" w:space="0" w:color="7F7F7F"/>
            </w:tcBorders>
            <w:shd w:val="clear" w:color="auto" w:fill="FFFFFF"/>
          </w:tcPr>
          <w:p w:rsidR="00BD1967" w:rsidRPr="00AB26AA" w:rsidRDefault="00BD1967" w:rsidP="0097777F">
            <w:pPr>
              <w:spacing w:after="0" w:line="259" w:lineRule="auto"/>
              <w:ind w:right="50"/>
              <w:jc w:val="right"/>
              <w:rPr>
                <w:rFonts w:ascii="Century Gothic" w:hAnsi="Century Gothic"/>
                <w:iCs/>
                <w:szCs w:val="20"/>
                <w:lang w:val="sr-Cyrl-RS"/>
              </w:rPr>
            </w:pPr>
            <w:r w:rsidRPr="00AB26AA">
              <w:rPr>
                <w:rFonts w:ascii="Century Gothic" w:hAnsi="Century Gothic"/>
                <w:iCs/>
                <w:szCs w:val="20"/>
                <w:lang w:val="sr-Cyrl-RS"/>
              </w:rPr>
              <w:t xml:space="preserve">Бр. оболелих </w:t>
            </w:r>
          </w:p>
        </w:tc>
        <w:tc>
          <w:tcPr>
            <w:tcW w:w="751" w:type="dxa"/>
            <w:shd w:val="clear" w:color="auto" w:fill="auto"/>
          </w:tcPr>
          <w:p w:rsidR="00BD1967" w:rsidRPr="00AB26AA" w:rsidRDefault="00BD1967" w:rsidP="0097777F">
            <w:pPr>
              <w:spacing w:after="0" w:line="259" w:lineRule="auto"/>
              <w:ind w:right="43"/>
              <w:jc w:val="right"/>
              <w:rPr>
                <w:rFonts w:ascii="Century Gothic" w:hAnsi="Century Gothic"/>
                <w:szCs w:val="20"/>
                <w:lang w:val="sr-Cyrl-RS"/>
              </w:rPr>
            </w:pPr>
            <w:r w:rsidRPr="00AB26AA">
              <w:rPr>
                <w:rFonts w:ascii="Century Gothic" w:hAnsi="Century Gothic"/>
                <w:szCs w:val="20"/>
                <w:lang w:val="sr-Cyrl-RS"/>
              </w:rPr>
              <w:t>0</w:t>
            </w:r>
          </w:p>
        </w:tc>
        <w:tc>
          <w:tcPr>
            <w:tcW w:w="694" w:type="dxa"/>
            <w:shd w:val="clear" w:color="auto" w:fill="auto"/>
          </w:tcPr>
          <w:p w:rsidR="00BD1967" w:rsidRPr="00AB26AA" w:rsidRDefault="00BD1967" w:rsidP="0097777F">
            <w:pPr>
              <w:spacing w:after="0" w:line="259" w:lineRule="auto"/>
              <w:ind w:right="45"/>
              <w:jc w:val="right"/>
              <w:rPr>
                <w:rFonts w:ascii="Century Gothic" w:hAnsi="Century Gothic"/>
                <w:szCs w:val="20"/>
                <w:lang w:val="sr-Cyrl-RS"/>
              </w:rPr>
            </w:pPr>
            <w:r w:rsidRPr="00AB26AA">
              <w:rPr>
                <w:rFonts w:ascii="Century Gothic" w:hAnsi="Century Gothic"/>
                <w:szCs w:val="20"/>
                <w:lang w:val="sr-Cyrl-RS"/>
              </w:rPr>
              <w:t>2</w:t>
            </w:r>
          </w:p>
        </w:tc>
        <w:tc>
          <w:tcPr>
            <w:tcW w:w="697" w:type="dxa"/>
            <w:shd w:val="clear" w:color="auto" w:fill="auto"/>
          </w:tcPr>
          <w:p w:rsidR="00BD1967" w:rsidRPr="00AB26AA" w:rsidRDefault="00BD1967" w:rsidP="0097777F">
            <w:pPr>
              <w:spacing w:after="0" w:line="259" w:lineRule="auto"/>
              <w:ind w:right="45"/>
              <w:jc w:val="right"/>
              <w:rPr>
                <w:rFonts w:ascii="Century Gothic" w:hAnsi="Century Gothic"/>
                <w:szCs w:val="20"/>
                <w:lang w:val="sr-Cyrl-RS"/>
              </w:rPr>
            </w:pPr>
            <w:r w:rsidRPr="00AB26AA">
              <w:rPr>
                <w:rFonts w:ascii="Century Gothic" w:hAnsi="Century Gothic"/>
                <w:szCs w:val="20"/>
                <w:lang w:val="sr-Cyrl-RS"/>
              </w:rPr>
              <w:t>0</w:t>
            </w:r>
          </w:p>
        </w:tc>
        <w:tc>
          <w:tcPr>
            <w:tcW w:w="695" w:type="dxa"/>
            <w:shd w:val="clear" w:color="auto" w:fill="auto"/>
          </w:tcPr>
          <w:p w:rsidR="00BD1967" w:rsidRPr="00AB26AA" w:rsidRDefault="00BD1967" w:rsidP="0097777F">
            <w:pPr>
              <w:spacing w:after="0" w:line="259" w:lineRule="auto"/>
              <w:ind w:right="42"/>
              <w:jc w:val="right"/>
              <w:rPr>
                <w:rFonts w:ascii="Century Gothic" w:hAnsi="Century Gothic"/>
                <w:szCs w:val="20"/>
                <w:lang w:val="sr-Cyrl-RS"/>
              </w:rPr>
            </w:pPr>
            <w:r w:rsidRPr="00AB26AA">
              <w:rPr>
                <w:rFonts w:ascii="Century Gothic" w:hAnsi="Century Gothic"/>
                <w:szCs w:val="20"/>
                <w:lang w:val="sr-Cyrl-RS"/>
              </w:rPr>
              <w:t>1</w:t>
            </w:r>
          </w:p>
        </w:tc>
        <w:tc>
          <w:tcPr>
            <w:tcW w:w="750" w:type="dxa"/>
            <w:shd w:val="clear" w:color="auto" w:fill="auto"/>
          </w:tcPr>
          <w:p w:rsidR="00BD1967" w:rsidRPr="00AB26AA" w:rsidRDefault="00BD1967" w:rsidP="0097777F">
            <w:pPr>
              <w:spacing w:after="0" w:line="259" w:lineRule="auto"/>
              <w:ind w:right="44"/>
              <w:jc w:val="right"/>
              <w:rPr>
                <w:rFonts w:ascii="Century Gothic" w:hAnsi="Century Gothic"/>
                <w:szCs w:val="20"/>
                <w:lang w:val="sr-Cyrl-RS"/>
              </w:rPr>
            </w:pPr>
            <w:r w:rsidRPr="00AB26AA">
              <w:rPr>
                <w:rFonts w:ascii="Century Gothic" w:hAnsi="Century Gothic"/>
                <w:szCs w:val="20"/>
                <w:lang w:val="sr-Cyrl-RS"/>
              </w:rPr>
              <w:t>20</w:t>
            </w:r>
          </w:p>
        </w:tc>
        <w:tc>
          <w:tcPr>
            <w:tcW w:w="696" w:type="dxa"/>
            <w:shd w:val="clear" w:color="auto" w:fill="auto"/>
          </w:tcPr>
          <w:p w:rsidR="00BD1967" w:rsidRPr="00AB26AA" w:rsidRDefault="00BD1967" w:rsidP="0097777F">
            <w:pPr>
              <w:spacing w:after="0" w:line="259" w:lineRule="auto"/>
              <w:ind w:right="46"/>
              <w:jc w:val="right"/>
              <w:rPr>
                <w:rFonts w:ascii="Century Gothic" w:hAnsi="Century Gothic"/>
                <w:szCs w:val="20"/>
                <w:lang w:val="sr-Cyrl-RS"/>
              </w:rPr>
            </w:pPr>
            <w:r w:rsidRPr="00AB26AA">
              <w:rPr>
                <w:rFonts w:ascii="Century Gothic" w:hAnsi="Century Gothic"/>
                <w:szCs w:val="20"/>
                <w:lang w:val="sr-Cyrl-RS"/>
              </w:rPr>
              <w:t>31</w:t>
            </w:r>
          </w:p>
        </w:tc>
        <w:tc>
          <w:tcPr>
            <w:tcW w:w="711" w:type="dxa"/>
            <w:shd w:val="clear" w:color="auto" w:fill="auto"/>
          </w:tcPr>
          <w:p w:rsidR="00BD1967" w:rsidRPr="00AB26AA" w:rsidRDefault="00BD1967" w:rsidP="0097777F">
            <w:pPr>
              <w:spacing w:after="0" w:line="259" w:lineRule="auto"/>
              <w:ind w:right="46"/>
              <w:jc w:val="right"/>
              <w:rPr>
                <w:rFonts w:ascii="Century Gothic" w:hAnsi="Century Gothic"/>
                <w:szCs w:val="20"/>
                <w:lang w:val="sr-Cyrl-RS"/>
              </w:rPr>
            </w:pPr>
            <w:r w:rsidRPr="00AB26AA">
              <w:rPr>
                <w:rFonts w:ascii="Century Gothic" w:hAnsi="Century Gothic"/>
                <w:szCs w:val="20"/>
                <w:lang w:val="sr-Cyrl-RS"/>
              </w:rPr>
              <w:t>247</w:t>
            </w:r>
          </w:p>
        </w:tc>
        <w:tc>
          <w:tcPr>
            <w:tcW w:w="711" w:type="dxa"/>
            <w:shd w:val="clear" w:color="auto" w:fill="auto"/>
          </w:tcPr>
          <w:p w:rsidR="00BD1967" w:rsidRPr="00AB26AA" w:rsidRDefault="00BD1967" w:rsidP="0097777F">
            <w:pPr>
              <w:spacing w:after="0" w:line="259" w:lineRule="auto"/>
              <w:ind w:right="46"/>
              <w:jc w:val="right"/>
              <w:rPr>
                <w:rFonts w:ascii="Century Gothic" w:hAnsi="Century Gothic"/>
                <w:szCs w:val="20"/>
                <w:lang w:val="sr-Cyrl-RS"/>
              </w:rPr>
            </w:pPr>
            <w:r w:rsidRPr="00AB26AA">
              <w:rPr>
                <w:rFonts w:ascii="Century Gothic" w:hAnsi="Century Gothic"/>
                <w:szCs w:val="20"/>
                <w:lang w:val="sr-Cyrl-RS"/>
              </w:rPr>
              <w:t>63</w:t>
            </w:r>
          </w:p>
        </w:tc>
        <w:tc>
          <w:tcPr>
            <w:tcW w:w="768" w:type="dxa"/>
            <w:shd w:val="clear" w:color="auto" w:fill="auto"/>
          </w:tcPr>
          <w:p w:rsidR="00BD1967" w:rsidRPr="00AB26AA" w:rsidRDefault="00BD1967" w:rsidP="0097777F">
            <w:pPr>
              <w:spacing w:after="0" w:line="259" w:lineRule="auto"/>
              <w:ind w:right="46"/>
              <w:jc w:val="right"/>
              <w:rPr>
                <w:rFonts w:ascii="Century Gothic" w:hAnsi="Century Gothic"/>
                <w:szCs w:val="20"/>
                <w:lang w:val="sr-Cyrl-RS"/>
              </w:rPr>
            </w:pPr>
            <w:r w:rsidRPr="00AB26AA">
              <w:rPr>
                <w:rFonts w:ascii="Century Gothic" w:hAnsi="Century Gothic"/>
                <w:szCs w:val="20"/>
                <w:lang w:val="sr-Cyrl-RS"/>
              </w:rPr>
              <w:t>140</w:t>
            </w:r>
          </w:p>
        </w:tc>
        <w:tc>
          <w:tcPr>
            <w:tcW w:w="768" w:type="dxa"/>
            <w:shd w:val="clear" w:color="auto" w:fill="auto"/>
          </w:tcPr>
          <w:p w:rsidR="00BD1967" w:rsidRPr="00AB26AA" w:rsidRDefault="00BD1967" w:rsidP="0097777F">
            <w:pPr>
              <w:spacing w:after="0" w:line="259" w:lineRule="auto"/>
              <w:ind w:right="46"/>
              <w:jc w:val="right"/>
              <w:rPr>
                <w:rFonts w:ascii="Century Gothic" w:hAnsi="Century Gothic"/>
                <w:szCs w:val="20"/>
                <w:lang w:val="sr-Cyrl-RS"/>
              </w:rPr>
            </w:pPr>
            <w:r w:rsidRPr="00AB26AA">
              <w:rPr>
                <w:rFonts w:ascii="Century Gothic" w:hAnsi="Century Gothic"/>
                <w:szCs w:val="20"/>
                <w:lang w:val="sr-Cyrl-RS"/>
              </w:rPr>
              <w:t>235</w:t>
            </w:r>
          </w:p>
        </w:tc>
      </w:tr>
      <w:tr w:rsidR="00BD1967" w:rsidRPr="00AB26AA" w:rsidTr="0097777F">
        <w:trPr>
          <w:trHeight w:val="254"/>
          <w:jc w:val="center"/>
        </w:trPr>
        <w:tc>
          <w:tcPr>
            <w:tcW w:w="1624" w:type="dxa"/>
            <w:tcBorders>
              <w:right w:val="single" w:sz="4" w:space="0" w:color="7F7F7F"/>
            </w:tcBorders>
            <w:shd w:val="clear" w:color="auto" w:fill="FFFFFF"/>
          </w:tcPr>
          <w:p w:rsidR="00BD1967" w:rsidRPr="00AB26AA" w:rsidRDefault="00BD1967" w:rsidP="0097777F">
            <w:pPr>
              <w:spacing w:after="0" w:line="259" w:lineRule="auto"/>
              <w:ind w:right="48"/>
              <w:jc w:val="right"/>
              <w:rPr>
                <w:rFonts w:ascii="Century Gothic" w:hAnsi="Century Gothic"/>
                <w:iCs/>
                <w:szCs w:val="20"/>
                <w:lang w:val="sr-Cyrl-RS"/>
              </w:rPr>
            </w:pPr>
            <w:r w:rsidRPr="00AB26AA">
              <w:rPr>
                <w:rFonts w:ascii="Century Gothic" w:hAnsi="Century Gothic"/>
                <w:iCs/>
                <w:szCs w:val="20"/>
                <w:lang w:val="sr-Cyrl-RS"/>
              </w:rPr>
              <w:t>Инциденција</w:t>
            </w:r>
          </w:p>
        </w:tc>
        <w:tc>
          <w:tcPr>
            <w:tcW w:w="751" w:type="dxa"/>
            <w:shd w:val="clear" w:color="auto" w:fill="auto"/>
          </w:tcPr>
          <w:p w:rsidR="00BD1967" w:rsidRPr="00AB26AA" w:rsidRDefault="00BD1967" w:rsidP="0097777F">
            <w:pPr>
              <w:spacing w:after="0" w:line="259" w:lineRule="auto"/>
              <w:ind w:right="43"/>
              <w:jc w:val="right"/>
              <w:rPr>
                <w:rFonts w:ascii="Century Gothic" w:hAnsi="Century Gothic"/>
                <w:szCs w:val="20"/>
                <w:lang w:val="sr-Cyrl-RS"/>
              </w:rPr>
            </w:pPr>
            <w:r w:rsidRPr="00AB26AA">
              <w:rPr>
                <w:rFonts w:ascii="Century Gothic" w:hAnsi="Century Gothic"/>
                <w:szCs w:val="20"/>
                <w:lang w:val="sr-Cyrl-RS"/>
              </w:rPr>
              <w:t>0,0</w:t>
            </w:r>
          </w:p>
        </w:tc>
        <w:tc>
          <w:tcPr>
            <w:tcW w:w="694" w:type="dxa"/>
            <w:shd w:val="clear" w:color="auto" w:fill="auto"/>
          </w:tcPr>
          <w:p w:rsidR="00BD1967" w:rsidRPr="00AB26AA" w:rsidRDefault="00BD1967" w:rsidP="0097777F">
            <w:pPr>
              <w:spacing w:after="0" w:line="259" w:lineRule="auto"/>
              <w:ind w:right="45"/>
              <w:jc w:val="right"/>
              <w:rPr>
                <w:rFonts w:ascii="Century Gothic" w:hAnsi="Century Gothic"/>
                <w:szCs w:val="20"/>
                <w:lang w:val="sr-Cyrl-RS"/>
              </w:rPr>
            </w:pPr>
            <w:r w:rsidRPr="00AB26AA">
              <w:rPr>
                <w:rFonts w:ascii="Century Gothic" w:hAnsi="Century Gothic"/>
                <w:szCs w:val="20"/>
                <w:lang w:val="sr-Cyrl-RS"/>
              </w:rPr>
              <w:t>0,1</w:t>
            </w:r>
          </w:p>
        </w:tc>
        <w:tc>
          <w:tcPr>
            <w:tcW w:w="697" w:type="dxa"/>
            <w:shd w:val="clear" w:color="auto" w:fill="auto"/>
          </w:tcPr>
          <w:p w:rsidR="00BD1967" w:rsidRPr="00AB26AA" w:rsidRDefault="00BD1967" w:rsidP="0097777F">
            <w:pPr>
              <w:spacing w:after="0" w:line="259" w:lineRule="auto"/>
              <w:ind w:right="45"/>
              <w:jc w:val="right"/>
              <w:rPr>
                <w:rFonts w:ascii="Century Gothic" w:hAnsi="Century Gothic"/>
                <w:szCs w:val="20"/>
                <w:lang w:val="sr-Cyrl-RS"/>
              </w:rPr>
            </w:pPr>
            <w:r w:rsidRPr="00AB26AA">
              <w:rPr>
                <w:rFonts w:ascii="Century Gothic" w:hAnsi="Century Gothic"/>
                <w:szCs w:val="20"/>
                <w:lang w:val="sr-Cyrl-RS"/>
              </w:rPr>
              <w:t>0,0</w:t>
            </w:r>
          </w:p>
        </w:tc>
        <w:tc>
          <w:tcPr>
            <w:tcW w:w="695" w:type="dxa"/>
            <w:shd w:val="clear" w:color="auto" w:fill="auto"/>
          </w:tcPr>
          <w:p w:rsidR="00BD1967" w:rsidRPr="00AB26AA" w:rsidRDefault="00BD1967" w:rsidP="0097777F">
            <w:pPr>
              <w:spacing w:after="0" w:line="259" w:lineRule="auto"/>
              <w:ind w:right="42"/>
              <w:jc w:val="right"/>
              <w:rPr>
                <w:rFonts w:ascii="Century Gothic" w:hAnsi="Century Gothic"/>
                <w:szCs w:val="20"/>
                <w:lang w:val="sr-Cyrl-RS"/>
              </w:rPr>
            </w:pPr>
            <w:r w:rsidRPr="00AB26AA">
              <w:rPr>
                <w:rFonts w:ascii="Century Gothic" w:hAnsi="Century Gothic"/>
                <w:szCs w:val="20"/>
                <w:lang w:val="sr-Cyrl-RS"/>
              </w:rPr>
              <w:t>&lt;0,1</w:t>
            </w:r>
          </w:p>
        </w:tc>
        <w:tc>
          <w:tcPr>
            <w:tcW w:w="750" w:type="dxa"/>
            <w:shd w:val="clear" w:color="auto" w:fill="auto"/>
          </w:tcPr>
          <w:p w:rsidR="00BD1967" w:rsidRPr="00AB26AA" w:rsidRDefault="00BD1967" w:rsidP="0097777F">
            <w:pPr>
              <w:spacing w:after="0" w:line="259" w:lineRule="auto"/>
              <w:ind w:right="44"/>
              <w:jc w:val="right"/>
              <w:rPr>
                <w:rFonts w:ascii="Century Gothic" w:hAnsi="Century Gothic"/>
                <w:szCs w:val="20"/>
                <w:lang w:val="sr-Cyrl-RS"/>
              </w:rPr>
            </w:pPr>
            <w:r w:rsidRPr="00AB26AA">
              <w:rPr>
                <w:rFonts w:ascii="Century Gothic" w:hAnsi="Century Gothic"/>
                <w:szCs w:val="20"/>
                <w:lang w:val="sr-Cyrl-RS"/>
              </w:rPr>
              <w:t>1,0</w:t>
            </w:r>
          </w:p>
        </w:tc>
        <w:tc>
          <w:tcPr>
            <w:tcW w:w="696" w:type="dxa"/>
            <w:shd w:val="clear" w:color="auto" w:fill="auto"/>
          </w:tcPr>
          <w:p w:rsidR="00BD1967" w:rsidRPr="00AB26AA" w:rsidRDefault="00BD1967" w:rsidP="0097777F">
            <w:pPr>
              <w:spacing w:after="0" w:line="259" w:lineRule="auto"/>
              <w:ind w:right="46"/>
              <w:jc w:val="right"/>
              <w:rPr>
                <w:rFonts w:ascii="Century Gothic" w:hAnsi="Century Gothic"/>
                <w:szCs w:val="20"/>
                <w:lang w:val="sr-Cyrl-RS"/>
              </w:rPr>
            </w:pPr>
            <w:r w:rsidRPr="00AB26AA">
              <w:rPr>
                <w:rFonts w:ascii="Century Gothic" w:hAnsi="Century Gothic"/>
                <w:szCs w:val="20"/>
                <w:lang w:val="sr-Cyrl-RS"/>
              </w:rPr>
              <w:t>1,6</w:t>
            </w:r>
          </w:p>
        </w:tc>
        <w:tc>
          <w:tcPr>
            <w:tcW w:w="711" w:type="dxa"/>
            <w:shd w:val="clear" w:color="auto" w:fill="auto"/>
          </w:tcPr>
          <w:p w:rsidR="00BD1967" w:rsidRPr="00AB26AA" w:rsidRDefault="00BD1967" w:rsidP="0097777F">
            <w:pPr>
              <w:spacing w:after="0" w:line="259" w:lineRule="auto"/>
              <w:ind w:right="46"/>
              <w:jc w:val="right"/>
              <w:rPr>
                <w:rFonts w:ascii="Century Gothic" w:hAnsi="Century Gothic"/>
                <w:szCs w:val="20"/>
                <w:lang w:val="sr-Cyrl-RS"/>
              </w:rPr>
            </w:pPr>
            <w:r w:rsidRPr="00AB26AA">
              <w:rPr>
                <w:rFonts w:ascii="Century Gothic" w:hAnsi="Century Gothic"/>
                <w:szCs w:val="20"/>
                <w:lang w:val="sr-Cyrl-RS"/>
              </w:rPr>
              <w:t>12,8</w:t>
            </w:r>
          </w:p>
        </w:tc>
        <w:tc>
          <w:tcPr>
            <w:tcW w:w="711" w:type="dxa"/>
            <w:shd w:val="clear" w:color="auto" w:fill="auto"/>
          </w:tcPr>
          <w:p w:rsidR="00BD1967" w:rsidRPr="00AB26AA" w:rsidRDefault="00BD1967" w:rsidP="0097777F">
            <w:pPr>
              <w:spacing w:after="0" w:line="259" w:lineRule="auto"/>
              <w:ind w:right="46"/>
              <w:jc w:val="right"/>
              <w:rPr>
                <w:rFonts w:ascii="Century Gothic" w:hAnsi="Century Gothic"/>
                <w:szCs w:val="20"/>
                <w:lang w:val="sr-Cyrl-RS"/>
              </w:rPr>
            </w:pPr>
            <w:r w:rsidRPr="00AB26AA">
              <w:rPr>
                <w:rFonts w:ascii="Century Gothic" w:hAnsi="Century Gothic"/>
                <w:szCs w:val="20"/>
                <w:lang w:val="sr-Cyrl-RS"/>
              </w:rPr>
              <w:t>3,3</w:t>
            </w:r>
          </w:p>
        </w:tc>
        <w:tc>
          <w:tcPr>
            <w:tcW w:w="768" w:type="dxa"/>
            <w:shd w:val="clear" w:color="auto" w:fill="auto"/>
          </w:tcPr>
          <w:p w:rsidR="00BD1967" w:rsidRPr="00AB26AA" w:rsidRDefault="00BD1967" w:rsidP="0097777F">
            <w:pPr>
              <w:spacing w:after="0" w:line="259" w:lineRule="auto"/>
              <w:ind w:right="46"/>
              <w:jc w:val="right"/>
              <w:rPr>
                <w:rFonts w:ascii="Century Gothic" w:hAnsi="Century Gothic"/>
                <w:szCs w:val="20"/>
                <w:lang w:val="sr-Cyrl-RS"/>
              </w:rPr>
            </w:pPr>
            <w:r w:rsidRPr="00AB26AA">
              <w:rPr>
                <w:rFonts w:ascii="Century Gothic" w:hAnsi="Century Gothic"/>
                <w:szCs w:val="20"/>
                <w:lang w:val="sr-Cyrl-RS"/>
              </w:rPr>
              <w:t>7,3</w:t>
            </w:r>
          </w:p>
        </w:tc>
        <w:tc>
          <w:tcPr>
            <w:tcW w:w="768" w:type="dxa"/>
            <w:shd w:val="clear" w:color="auto" w:fill="auto"/>
          </w:tcPr>
          <w:p w:rsidR="00BD1967" w:rsidRPr="00AB26AA" w:rsidRDefault="00BD1967" w:rsidP="0097777F">
            <w:pPr>
              <w:spacing w:after="0" w:line="259" w:lineRule="auto"/>
              <w:ind w:right="46"/>
              <w:jc w:val="right"/>
              <w:rPr>
                <w:rFonts w:ascii="Century Gothic" w:hAnsi="Century Gothic"/>
                <w:szCs w:val="20"/>
                <w:lang w:val="sr-Cyrl-RS"/>
              </w:rPr>
            </w:pPr>
            <w:r w:rsidRPr="00AB26AA">
              <w:rPr>
                <w:rFonts w:ascii="Century Gothic" w:hAnsi="Century Gothic"/>
                <w:szCs w:val="20"/>
                <w:lang w:val="sr-Cyrl-RS"/>
              </w:rPr>
              <w:t>12,2</w:t>
            </w:r>
          </w:p>
        </w:tc>
      </w:tr>
      <w:tr w:rsidR="00BD1967" w:rsidRPr="00AB26AA" w:rsidTr="0097777F">
        <w:trPr>
          <w:trHeight w:val="326"/>
          <w:jc w:val="center"/>
        </w:trPr>
        <w:tc>
          <w:tcPr>
            <w:tcW w:w="1624" w:type="dxa"/>
            <w:tcBorders>
              <w:right w:val="single" w:sz="4" w:space="0" w:color="7F7F7F"/>
            </w:tcBorders>
            <w:shd w:val="clear" w:color="auto" w:fill="FFFFFF"/>
          </w:tcPr>
          <w:p w:rsidR="00BD1967" w:rsidRPr="00AB26AA" w:rsidRDefault="00BD1967" w:rsidP="0097777F">
            <w:pPr>
              <w:spacing w:after="0" w:line="259" w:lineRule="auto"/>
              <w:ind w:right="48"/>
              <w:jc w:val="right"/>
              <w:rPr>
                <w:rFonts w:ascii="Century Gothic" w:hAnsi="Century Gothic"/>
                <w:iCs/>
                <w:szCs w:val="20"/>
                <w:lang w:val="sr-Cyrl-RS"/>
              </w:rPr>
            </w:pPr>
            <w:r w:rsidRPr="00AB26AA">
              <w:rPr>
                <w:rFonts w:ascii="Century Gothic" w:hAnsi="Century Gothic"/>
                <w:iCs/>
                <w:szCs w:val="20"/>
                <w:lang w:val="sr-Cyrl-RS"/>
              </w:rPr>
              <w:t>Бр. умрлих</w:t>
            </w:r>
          </w:p>
        </w:tc>
        <w:tc>
          <w:tcPr>
            <w:tcW w:w="751" w:type="dxa"/>
            <w:shd w:val="clear" w:color="auto" w:fill="auto"/>
          </w:tcPr>
          <w:p w:rsidR="00BD1967" w:rsidRPr="00AB26AA" w:rsidRDefault="00BD1967" w:rsidP="0097777F">
            <w:pPr>
              <w:spacing w:after="0" w:line="259" w:lineRule="auto"/>
              <w:ind w:right="43"/>
              <w:jc w:val="right"/>
              <w:rPr>
                <w:rFonts w:ascii="Century Gothic" w:hAnsi="Century Gothic"/>
                <w:szCs w:val="20"/>
                <w:lang w:val="sr-Cyrl-RS"/>
              </w:rPr>
            </w:pPr>
            <w:r w:rsidRPr="00AB26AA">
              <w:rPr>
                <w:rFonts w:ascii="Century Gothic" w:hAnsi="Century Gothic"/>
                <w:szCs w:val="20"/>
                <w:lang w:val="sr-Cyrl-RS"/>
              </w:rPr>
              <w:t>0</w:t>
            </w:r>
          </w:p>
        </w:tc>
        <w:tc>
          <w:tcPr>
            <w:tcW w:w="694" w:type="dxa"/>
            <w:shd w:val="clear" w:color="auto" w:fill="auto"/>
          </w:tcPr>
          <w:p w:rsidR="00BD1967" w:rsidRPr="00AB26AA" w:rsidRDefault="00BD1967" w:rsidP="0097777F">
            <w:pPr>
              <w:spacing w:after="0" w:line="259" w:lineRule="auto"/>
              <w:ind w:right="45"/>
              <w:jc w:val="right"/>
              <w:rPr>
                <w:rFonts w:ascii="Century Gothic" w:hAnsi="Century Gothic"/>
                <w:szCs w:val="20"/>
                <w:lang w:val="sr-Cyrl-RS"/>
              </w:rPr>
            </w:pPr>
            <w:r w:rsidRPr="00AB26AA">
              <w:rPr>
                <w:rFonts w:ascii="Century Gothic" w:hAnsi="Century Gothic"/>
                <w:szCs w:val="20"/>
                <w:lang w:val="sr-Cyrl-RS"/>
              </w:rPr>
              <w:t>0</w:t>
            </w:r>
          </w:p>
        </w:tc>
        <w:tc>
          <w:tcPr>
            <w:tcW w:w="697" w:type="dxa"/>
            <w:shd w:val="clear" w:color="auto" w:fill="auto"/>
          </w:tcPr>
          <w:p w:rsidR="00BD1967" w:rsidRPr="00AB26AA" w:rsidRDefault="00BD1967" w:rsidP="0097777F">
            <w:pPr>
              <w:spacing w:after="0" w:line="259" w:lineRule="auto"/>
              <w:ind w:right="45"/>
              <w:jc w:val="right"/>
              <w:rPr>
                <w:rFonts w:ascii="Century Gothic" w:hAnsi="Century Gothic"/>
                <w:szCs w:val="20"/>
                <w:lang w:val="sr-Cyrl-RS"/>
              </w:rPr>
            </w:pPr>
            <w:r w:rsidRPr="00AB26AA">
              <w:rPr>
                <w:rFonts w:ascii="Century Gothic" w:hAnsi="Century Gothic"/>
                <w:szCs w:val="20"/>
                <w:lang w:val="sr-Cyrl-RS"/>
              </w:rPr>
              <w:t>0</w:t>
            </w:r>
          </w:p>
        </w:tc>
        <w:tc>
          <w:tcPr>
            <w:tcW w:w="695" w:type="dxa"/>
            <w:shd w:val="clear" w:color="auto" w:fill="auto"/>
          </w:tcPr>
          <w:p w:rsidR="00BD1967" w:rsidRPr="00AB26AA" w:rsidRDefault="00BD1967" w:rsidP="0097777F">
            <w:pPr>
              <w:spacing w:after="0" w:line="259" w:lineRule="auto"/>
              <w:ind w:right="42"/>
              <w:jc w:val="right"/>
              <w:rPr>
                <w:rFonts w:ascii="Century Gothic" w:hAnsi="Century Gothic"/>
                <w:szCs w:val="20"/>
                <w:lang w:val="sr-Cyrl-RS"/>
              </w:rPr>
            </w:pPr>
            <w:r w:rsidRPr="00AB26AA">
              <w:rPr>
                <w:rFonts w:ascii="Century Gothic" w:hAnsi="Century Gothic"/>
                <w:szCs w:val="20"/>
                <w:lang w:val="sr-Cyrl-RS"/>
              </w:rPr>
              <w:t>0</w:t>
            </w:r>
          </w:p>
        </w:tc>
        <w:tc>
          <w:tcPr>
            <w:tcW w:w="750" w:type="dxa"/>
            <w:shd w:val="clear" w:color="auto" w:fill="auto"/>
          </w:tcPr>
          <w:p w:rsidR="00BD1967" w:rsidRPr="00AB26AA" w:rsidRDefault="00BD1967" w:rsidP="0097777F">
            <w:pPr>
              <w:spacing w:after="0" w:line="259" w:lineRule="auto"/>
              <w:ind w:right="44"/>
              <w:jc w:val="right"/>
              <w:rPr>
                <w:rFonts w:ascii="Century Gothic" w:hAnsi="Century Gothic"/>
                <w:szCs w:val="20"/>
                <w:lang w:val="sr-Cyrl-RS"/>
              </w:rPr>
            </w:pPr>
            <w:r w:rsidRPr="00AB26AA">
              <w:rPr>
                <w:rFonts w:ascii="Century Gothic" w:hAnsi="Century Gothic"/>
                <w:szCs w:val="20"/>
                <w:lang w:val="sr-Cyrl-RS"/>
              </w:rPr>
              <w:t>0</w:t>
            </w:r>
          </w:p>
        </w:tc>
        <w:tc>
          <w:tcPr>
            <w:tcW w:w="696" w:type="dxa"/>
            <w:shd w:val="clear" w:color="auto" w:fill="auto"/>
          </w:tcPr>
          <w:p w:rsidR="00BD1967" w:rsidRPr="00AB26AA" w:rsidRDefault="00BD1967" w:rsidP="0097777F">
            <w:pPr>
              <w:spacing w:after="0" w:line="259" w:lineRule="auto"/>
              <w:ind w:right="46"/>
              <w:jc w:val="right"/>
              <w:rPr>
                <w:rFonts w:ascii="Century Gothic" w:hAnsi="Century Gothic"/>
                <w:szCs w:val="20"/>
                <w:lang w:val="sr-Cyrl-RS"/>
              </w:rPr>
            </w:pPr>
            <w:r w:rsidRPr="00AB26AA">
              <w:rPr>
                <w:rFonts w:ascii="Century Gothic" w:hAnsi="Century Gothic"/>
                <w:szCs w:val="20"/>
                <w:lang w:val="sr-Cyrl-RS"/>
              </w:rPr>
              <w:t>0</w:t>
            </w:r>
          </w:p>
        </w:tc>
        <w:tc>
          <w:tcPr>
            <w:tcW w:w="711" w:type="dxa"/>
            <w:shd w:val="clear" w:color="auto" w:fill="auto"/>
          </w:tcPr>
          <w:p w:rsidR="00BD1967" w:rsidRPr="00AB26AA" w:rsidRDefault="00BD1967" w:rsidP="0097777F">
            <w:pPr>
              <w:spacing w:after="0" w:line="259" w:lineRule="auto"/>
              <w:ind w:right="46"/>
              <w:jc w:val="right"/>
              <w:rPr>
                <w:rFonts w:ascii="Century Gothic" w:hAnsi="Century Gothic"/>
                <w:szCs w:val="20"/>
                <w:lang w:val="sr-Cyrl-RS"/>
              </w:rPr>
            </w:pPr>
            <w:r w:rsidRPr="00AB26AA">
              <w:rPr>
                <w:rFonts w:ascii="Century Gothic" w:hAnsi="Century Gothic"/>
                <w:szCs w:val="20"/>
                <w:lang w:val="sr-Cyrl-RS"/>
              </w:rPr>
              <w:t>0</w:t>
            </w:r>
          </w:p>
        </w:tc>
        <w:tc>
          <w:tcPr>
            <w:tcW w:w="711" w:type="dxa"/>
            <w:shd w:val="clear" w:color="auto" w:fill="auto"/>
          </w:tcPr>
          <w:p w:rsidR="00BD1967" w:rsidRPr="00AB26AA" w:rsidRDefault="00BD1967" w:rsidP="0097777F">
            <w:pPr>
              <w:spacing w:after="0" w:line="259" w:lineRule="auto"/>
              <w:ind w:right="46"/>
              <w:jc w:val="right"/>
              <w:rPr>
                <w:rFonts w:ascii="Century Gothic" w:hAnsi="Century Gothic"/>
                <w:szCs w:val="20"/>
                <w:lang w:val="sr-Cyrl-RS"/>
              </w:rPr>
            </w:pPr>
            <w:r w:rsidRPr="00AB26AA">
              <w:rPr>
                <w:rFonts w:ascii="Century Gothic" w:hAnsi="Century Gothic"/>
                <w:szCs w:val="20"/>
                <w:lang w:val="sr-Cyrl-RS"/>
              </w:rPr>
              <w:t>1</w:t>
            </w:r>
          </w:p>
        </w:tc>
        <w:tc>
          <w:tcPr>
            <w:tcW w:w="768" w:type="dxa"/>
            <w:shd w:val="clear" w:color="auto" w:fill="auto"/>
          </w:tcPr>
          <w:p w:rsidR="00BD1967" w:rsidRPr="00AB26AA" w:rsidRDefault="00BD1967" w:rsidP="0097777F">
            <w:pPr>
              <w:spacing w:after="0" w:line="259" w:lineRule="auto"/>
              <w:ind w:right="46"/>
              <w:jc w:val="right"/>
              <w:rPr>
                <w:rFonts w:ascii="Century Gothic" w:hAnsi="Century Gothic"/>
                <w:szCs w:val="20"/>
                <w:lang w:val="sr-Cyrl-RS"/>
              </w:rPr>
            </w:pPr>
            <w:r w:rsidRPr="00AB26AA">
              <w:rPr>
                <w:rFonts w:ascii="Century Gothic" w:hAnsi="Century Gothic"/>
                <w:szCs w:val="20"/>
                <w:lang w:val="sr-Cyrl-RS"/>
              </w:rPr>
              <w:t>0</w:t>
            </w:r>
          </w:p>
        </w:tc>
        <w:tc>
          <w:tcPr>
            <w:tcW w:w="768" w:type="dxa"/>
            <w:shd w:val="clear" w:color="auto" w:fill="auto"/>
          </w:tcPr>
          <w:p w:rsidR="00BD1967" w:rsidRPr="00AB26AA" w:rsidRDefault="00BD1967" w:rsidP="0097777F">
            <w:pPr>
              <w:spacing w:after="0" w:line="259" w:lineRule="auto"/>
              <w:ind w:right="46"/>
              <w:jc w:val="right"/>
              <w:rPr>
                <w:rFonts w:ascii="Century Gothic" w:hAnsi="Century Gothic"/>
                <w:szCs w:val="20"/>
                <w:lang w:val="sr-Cyrl-RS"/>
              </w:rPr>
            </w:pPr>
            <w:r w:rsidRPr="00AB26AA">
              <w:rPr>
                <w:rFonts w:ascii="Century Gothic" w:hAnsi="Century Gothic"/>
                <w:szCs w:val="20"/>
                <w:lang w:val="sr-Cyrl-RS"/>
              </w:rPr>
              <w:t>0</w:t>
            </w:r>
          </w:p>
        </w:tc>
      </w:tr>
      <w:tr w:rsidR="00BD1967" w:rsidRPr="00AB26AA" w:rsidTr="0097777F">
        <w:trPr>
          <w:trHeight w:val="254"/>
          <w:jc w:val="center"/>
        </w:trPr>
        <w:tc>
          <w:tcPr>
            <w:tcW w:w="1624" w:type="dxa"/>
            <w:tcBorders>
              <w:right w:val="single" w:sz="4" w:space="0" w:color="7F7F7F"/>
            </w:tcBorders>
            <w:shd w:val="clear" w:color="auto" w:fill="FFFFFF"/>
          </w:tcPr>
          <w:p w:rsidR="00BD1967" w:rsidRPr="00AB26AA" w:rsidRDefault="00BD1967" w:rsidP="0097777F">
            <w:pPr>
              <w:spacing w:after="0" w:line="259" w:lineRule="auto"/>
              <w:ind w:right="48"/>
              <w:jc w:val="right"/>
              <w:rPr>
                <w:rFonts w:ascii="Century Gothic" w:hAnsi="Century Gothic"/>
                <w:iCs/>
                <w:szCs w:val="20"/>
                <w:lang w:val="sr-Cyrl-RS"/>
              </w:rPr>
            </w:pPr>
            <w:r w:rsidRPr="00AB26AA">
              <w:rPr>
                <w:rFonts w:ascii="Century Gothic" w:hAnsi="Century Gothic"/>
                <w:iCs/>
                <w:szCs w:val="20"/>
                <w:lang w:val="sr-Cyrl-RS"/>
              </w:rPr>
              <w:t>Морталитет</w:t>
            </w:r>
          </w:p>
        </w:tc>
        <w:tc>
          <w:tcPr>
            <w:tcW w:w="751" w:type="dxa"/>
            <w:shd w:val="clear" w:color="auto" w:fill="auto"/>
          </w:tcPr>
          <w:p w:rsidR="00BD1967" w:rsidRPr="00AB26AA" w:rsidRDefault="00BD1967" w:rsidP="0097777F">
            <w:pPr>
              <w:spacing w:after="0" w:line="259" w:lineRule="auto"/>
              <w:ind w:right="43"/>
              <w:jc w:val="right"/>
              <w:rPr>
                <w:rFonts w:ascii="Century Gothic" w:hAnsi="Century Gothic"/>
                <w:szCs w:val="20"/>
                <w:lang w:val="sr-Cyrl-RS"/>
              </w:rPr>
            </w:pPr>
            <w:r w:rsidRPr="00AB26AA">
              <w:rPr>
                <w:rFonts w:ascii="Century Gothic" w:hAnsi="Century Gothic"/>
                <w:szCs w:val="20"/>
                <w:lang w:val="sr-Cyrl-RS"/>
              </w:rPr>
              <w:t>0,0</w:t>
            </w:r>
          </w:p>
        </w:tc>
        <w:tc>
          <w:tcPr>
            <w:tcW w:w="694" w:type="dxa"/>
            <w:shd w:val="clear" w:color="auto" w:fill="auto"/>
          </w:tcPr>
          <w:p w:rsidR="00BD1967" w:rsidRPr="00AB26AA" w:rsidRDefault="00BD1967" w:rsidP="0097777F">
            <w:pPr>
              <w:spacing w:after="0" w:line="259" w:lineRule="auto"/>
              <w:ind w:right="42"/>
              <w:jc w:val="right"/>
              <w:rPr>
                <w:rFonts w:ascii="Century Gothic" w:hAnsi="Century Gothic"/>
                <w:szCs w:val="20"/>
                <w:lang w:val="sr-Cyrl-RS"/>
              </w:rPr>
            </w:pPr>
            <w:r w:rsidRPr="00AB26AA">
              <w:rPr>
                <w:rFonts w:ascii="Century Gothic" w:hAnsi="Century Gothic"/>
                <w:szCs w:val="20"/>
                <w:lang w:val="sr-Cyrl-RS"/>
              </w:rPr>
              <w:t>0,0</w:t>
            </w:r>
          </w:p>
        </w:tc>
        <w:tc>
          <w:tcPr>
            <w:tcW w:w="697" w:type="dxa"/>
            <w:shd w:val="clear" w:color="auto" w:fill="auto"/>
          </w:tcPr>
          <w:p w:rsidR="00BD1967" w:rsidRPr="00AB26AA" w:rsidRDefault="00BD1967" w:rsidP="0097777F">
            <w:pPr>
              <w:spacing w:after="0" w:line="259" w:lineRule="auto"/>
              <w:ind w:right="45"/>
              <w:jc w:val="right"/>
              <w:rPr>
                <w:rFonts w:ascii="Century Gothic" w:hAnsi="Century Gothic"/>
                <w:szCs w:val="20"/>
                <w:lang w:val="sr-Cyrl-RS"/>
              </w:rPr>
            </w:pPr>
            <w:r w:rsidRPr="00AB26AA">
              <w:rPr>
                <w:rFonts w:ascii="Century Gothic" w:hAnsi="Century Gothic"/>
                <w:szCs w:val="20"/>
                <w:lang w:val="sr-Cyrl-RS"/>
              </w:rPr>
              <w:t>0,0</w:t>
            </w:r>
          </w:p>
        </w:tc>
        <w:tc>
          <w:tcPr>
            <w:tcW w:w="695" w:type="dxa"/>
            <w:shd w:val="clear" w:color="auto" w:fill="auto"/>
          </w:tcPr>
          <w:p w:rsidR="00BD1967" w:rsidRPr="00AB26AA" w:rsidRDefault="00BD1967" w:rsidP="0097777F">
            <w:pPr>
              <w:spacing w:after="0" w:line="259" w:lineRule="auto"/>
              <w:ind w:right="43"/>
              <w:jc w:val="right"/>
              <w:rPr>
                <w:rFonts w:ascii="Century Gothic" w:hAnsi="Century Gothic"/>
                <w:szCs w:val="20"/>
                <w:lang w:val="sr-Cyrl-RS"/>
              </w:rPr>
            </w:pPr>
            <w:r w:rsidRPr="00AB26AA">
              <w:rPr>
                <w:rFonts w:ascii="Century Gothic" w:hAnsi="Century Gothic"/>
                <w:szCs w:val="20"/>
                <w:lang w:val="sr-Cyrl-RS"/>
              </w:rPr>
              <w:t>0,0</w:t>
            </w:r>
          </w:p>
        </w:tc>
        <w:tc>
          <w:tcPr>
            <w:tcW w:w="750" w:type="dxa"/>
            <w:shd w:val="clear" w:color="auto" w:fill="auto"/>
          </w:tcPr>
          <w:p w:rsidR="00BD1967" w:rsidRPr="00AB26AA" w:rsidRDefault="00BD1967" w:rsidP="0097777F">
            <w:pPr>
              <w:spacing w:after="0" w:line="259" w:lineRule="auto"/>
              <w:ind w:right="42"/>
              <w:jc w:val="right"/>
              <w:rPr>
                <w:rFonts w:ascii="Century Gothic" w:hAnsi="Century Gothic"/>
                <w:szCs w:val="20"/>
                <w:lang w:val="sr-Cyrl-RS"/>
              </w:rPr>
            </w:pPr>
            <w:r w:rsidRPr="00AB26AA">
              <w:rPr>
                <w:rFonts w:ascii="Century Gothic" w:hAnsi="Century Gothic"/>
                <w:szCs w:val="20"/>
                <w:lang w:val="sr-Cyrl-RS"/>
              </w:rPr>
              <w:t>0,0</w:t>
            </w:r>
          </w:p>
        </w:tc>
        <w:tc>
          <w:tcPr>
            <w:tcW w:w="696" w:type="dxa"/>
            <w:shd w:val="clear" w:color="auto" w:fill="auto"/>
          </w:tcPr>
          <w:p w:rsidR="00BD1967" w:rsidRPr="00AB26AA" w:rsidRDefault="00BD1967" w:rsidP="0097777F">
            <w:pPr>
              <w:spacing w:after="0" w:line="259" w:lineRule="auto"/>
              <w:ind w:right="45"/>
              <w:jc w:val="right"/>
              <w:rPr>
                <w:rFonts w:ascii="Century Gothic" w:hAnsi="Century Gothic"/>
                <w:szCs w:val="20"/>
                <w:lang w:val="sr-Cyrl-RS"/>
              </w:rPr>
            </w:pPr>
            <w:r w:rsidRPr="00AB26AA">
              <w:rPr>
                <w:rFonts w:ascii="Century Gothic" w:hAnsi="Century Gothic"/>
                <w:szCs w:val="20"/>
                <w:lang w:val="sr-Cyrl-RS"/>
              </w:rPr>
              <w:t>0,0</w:t>
            </w:r>
          </w:p>
        </w:tc>
        <w:tc>
          <w:tcPr>
            <w:tcW w:w="711" w:type="dxa"/>
            <w:shd w:val="clear" w:color="auto" w:fill="auto"/>
          </w:tcPr>
          <w:p w:rsidR="00BD1967" w:rsidRPr="00AB26AA" w:rsidRDefault="00BD1967" w:rsidP="0097777F">
            <w:pPr>
              <w:spacing w:after="0" w:line="259" w:lineRule="auto"/>
              <w:ind w:right="43"/>
              <w:jc w:val="right"/>
              <w:rPr>
                <w:rFonts w:ascii="Century Gothic" w:hAnsi="Century Gothic"/>
                <w:szCs w:val="20"/>
                <w:lang w:val="sr-Cyrl-RS"/>
              </w:rPr>
            </w:pPr>
            <w:r w:rsidRPr="00AB26AA">
              <w:rPr>
                <w:rFonts w:ascii="Century Gothic" w:hAnsi="Century Gothic"/>
                <w:szCs w:val="20"/>
                <w:lang w:val="sr-Cyrl-RS"/>
              </w:rPr>
              <w:t>0,0</w:t>
            </w:r>
          </w:p>
        </w:tc>
        <w:tc>
          <w:tcPr>
            <w:tcW w:w="711" w:type="dxa"/>
            <w:shd w:val="clear" w:color="auto" w:fill="auto"/>
          </w:tcPr>
          <w:p w:rsidR="00BD1967" w:rsidRPr="00AB26AA" w:rsidRDefault="00BD1967" w:rsidP="0097777F">
            <w:pPr>
              <w:spacing w:after="0" w:line="259" w:lineRule="auto"/>
              <w:ind w:right="46"/>
              <w:jc w:val="right"/>
              <w:rPr>
                <w:rFonts w:ascii="Century Gothic" w:hAnsi="Century Gothic"/>
                <w:szCs w:val="20"/>
                <w:lang w:val="sr-Cyrl-RS"/>
              </w:rPr>
            </w:pPr>
            <w:r w:rsidRPr="00AB26AA">
              <w:rPr>
                <w:rFonts w:ascii="Century Gothic" w:hAnsi="Century Gothic"/>
                <w:szCs w:val="20"/>
                <w:lang w:val="sr-Cyrl-RS"/>
              </w:rPr>
              <w:t>&lt;0,1</w:t>
            </w:r>
          </w:p>
        </w:tc>
        <w:tc>
          <w:tcPr>
            <w:tcW w:w="768" w:type="dxa"/>
            <w:shd w:val="clear" w:color="auto" w:fill="auto"/>
          </w:tcPr>
          <w:p w:rsidR="00BD1967" w:rsidRPr="00AB26AA" w:rsidRDefault="00BD1967" w:rsidP="0097777F">
            <w:pPr>
              <w:spacing w:after="0" w:line="259" w:lineRule="auto"/>
              <w:ind w:right="46"/>
              <w:jc w:val="right"/>
              <w:rPr>
                <w:rFonts w:ascii="Century Gothic" w:hAnsi="Century Gothic"/>
                <w:szCs w:val="20"/>
                <w:lang w:val="sr-Cyrl-RS"/>
              </w:rPr>
            </w:pPr>
            <w:r w:rsidRPr="00AB26AA">
              <w:rPr>
                <w:rFonts w:ascii="Century Gothic" w:hAnsi="Century Gothic"/>
                <w:szCs w:val="20"/>
                <w:lang w:val="sr-Cyrl-RS"/>
              </w:rPr>
              <w:t>0,0</w:t>
            </w:r>
          </w:p>
        </w:tc>
        <w:tc>
          <w:tcPr>
            <w:tcW w:w="768" w:type="dxa"/>
            <w:shd w:val="clear" w:color="auto" w:fill="auto"/>
          </w:tcPr>
          <w:p w:rsidR="00BD1967" w:rsidRPr="00AB26AA" w:rsidRDefault="00BD1967" w:rsidP="0097777F">
            <w:pPr>
              <w:spacing w:after="0" w:line="259" w:lineRule="auto"/>
              <w:ind w:right="46"/>
              <w:jc w:val="right"/>
              <w:rPr>
                <w:rFonts w:ascii="Century Gothic" w:hAnsi="Century Gothic"/>
                <w:szCs w:val="20"/>
                <w:lang w:val="sr-Cyrl-RS"/>
              </w:rPr>
            </w:pPr>
            <w:r w:rsidRPr="00AB26AA">
              <w:rPr>
                <w:rFonts w:ascii="Century Gothic" w:hAnsi="Century Gothic"/>
                <w:szCs w:val="20"/>
                <w:lang w:val="sr-Cyrl-RS"/>
              </w:rPr>
              <w:t>0,0</w:t>
            </w:r>
          </w:p>
        </w:tc>
      </w:tr>
    </w:tbl>
    <w:p w:rsidR="00BD1967" w:rsidRPr="00016E48" w:rsidRDefault="00BD1967" w:rsidP="00BD1967">
      <w:pPr>
        <w:tabs>
          <w:tab w:val="left" w:pos="1900"/>
        </w:tabs>
        <w:spacing w:after="215" w:line="259" w:lineRule="auto"/>
        <w:ind w:left="240"/>
        <w:jc w:val="left"/>
        <w:rPr>
          <w:rFonts w:ascii="Century Gothic" w:hAnsi="Century Gothic"/>
          <w:lang w:val="sr-Cyrl-RS"/>
        </w:rPr>
      </w:pPr>
      <w:r w:rsidRPr="00016E48">
        <w:rPr>
          <w:rFonts w:ascii="Century Gothic" w:hAnsi="Century Gothic"/>
          <w:lang w:val="sr-Cyrl-RS"/>
        </w:rPr>
        <w:tab/>
      </w:r>
    </w:p>
    <w:p w:rsidR="00BD1967" w:rsidRPr="00AB26AA" w:rsidRDefault="00BD1967" w:rsidP="00BD1967">
      <w:pPr>
        <w:rPr>
          <w:rFonts w:ascii="Century Gothic" w:hAnsi="Century Gothic" w:cs="Calibri"/>
          <w:lang w:val="sr-Cyrl-RS"/>
        </w:rPr>
      </w:pPr>
      <w:r w:rsidRPr="00AB26AA">
        <w:rPr>
          <w:rFonts w:ascii="Century Gothic" w:hAnsi="Century Gothic" w:cs="Calibri"/>
          <w:lang w:val="sr-Cyrl-RS"/>
        </w:rPr>
        <w:t>Резултати надзора су показали да од пертусиса оболевају особе свих добних група, укључујући и оне које су потпуно имунизоване против ове болести, а у складу са важећим законским прописима у нашој земљи. Н</w:t>
      </w:r>
      <w:r w:rsidRPr="00AB26AA">
        <w:rPr>
          <w:rFonts w:ascii="Century Gothic" w:hAnsi="Century Gothic"/>
          <w:lang w:val="sr-Cyrl-RS"/>
        </w:rPr>
        <w:t xml:space="preserve">ајвише вредности узрасно специфичне стопе инциденције се региструју код невакцинисане или непотпуно вакцинисане деце најмлађег узраста, али се највећи проценат оболелих региструје код вакцинисане деце школског узраста (7-14 година). </w:t>
      </w:r>
    </w:p>
    <w:p w:rsidR="00BD1967" w:rsidRDefault="00BD1967" w:rsidP="00B03CC0">
      <w:pPr>
        <w:autoSpaceDE w:val="0"/>
        <w:autoSpaceDN w:val="0"/>
        <w:adjustRightInd w:val="0"/>
        <w:rPr>
          <w:rFonts w:ascii="Century Gothic" w:hAnsi="Century Gothic" w:cs="Tahoma"/>
          <w:noProof w:val="0"/>
          <w:szCs w:val="20"/>
          <w:lang w:val="sr-Cyrl-RS"/>
        </w:rPr>
      </w:pPr>
    </w:p>
    <w:p w:rsidR="00BD1967" w:rsidRDefault="00BD1967" w:rsidP="00B03CC0">
      <w:pPr>
        <w:autoSpaceDE w:val="0"/>
        <w:autoSpaceDN w:val="0"/>
        <w:adjustRightInd w:val="0"/>
        <w:rPr>
          <w:rFonts w:ascii="Century Gothic" w:hAnsi="Century Gothic" w:cs="Tahoma"/>
          <w:noProof w:val="0"/>
          <w:szCs w:val="20"/>
          <w:lang w:val="sr-Cyrl-RS"/>
        </w:rPr>
      </w:pPr>
    </w:p>
    <w:p w:rsidR="00212B95" w:rsidRDefault="00212B95" w:rsidP="00B03CC0">
      <w:pPr>
        <w:autoSpaceDE w:val="0"/>
        <w:autoSpaceDN w:val="0"/>
        <w:adjustRightInd w:val="0"/>
        <w:rPr>
          <w:rFonts w:ascii="Century Gothic" w:hAnsi="Century Gothic" w:cs="Tahoma"/>
          <w:noProof w:val="0"/>
          <w:szCs w:val="20"/>
          <w:lang w:val="sr-Cyrl-RS"/>
        </w:rPr>
      </w:pPr>
    </w:p>
    <w:p w:rsidR="00212B95" w:rsidRDefault="00212B95" w:rsidP="00B03CC0">
      <w:pPr>
        <w:autoSpaceDE w:val="0"/>
        <w:autoSpaceDN w:val="0"/>
        <w:adjustRightInd w:val="0"/>
        <w:rPr>
          <w:rFonts w:ascii="Century Gothic" w:hAnsi="Century Gothic" w:cs="Tahoma"/>
          <w:noProof w:val="0"/>
          <w:szCs w:val="20"/>
          <w:lang w:val="sr-Cyrl-RS"/>
        </w:rPr>
      </w:pPr>
    </w:p>
    <w:p w:rsidR="00212B95" w:rsidRPr="00AB26AA" w:rsidRDefault="00212B95" w:rsidP="00B03CC0">
      <w:pPr>
        <w:autoSpaceDE w:val="0"/>
        <w:autoSpaceDN w:val="0"/>
        <w:adjustRightInd w:val="0"/>
        <w:rPr>
          <w:rFonts w:ascii="Century Gothic" w:hAnsi="Century Gothic" w:cs="Tahoma"/>
          <w:noProof w:val="0"/>
          <w:szCs w:val="20"/>
          <w:lang w:val="sr-Cyrl-RS"/>
        </w:rPr>
      </w:pPr>
    </w:p>
    <w:p w:rsidR="004D2CA5" w:rsidRPr="009254FB" w:rsidRDefault="00EB7451" w:rsidP="00BD1967">
      <w:pPr>
        <w:jc w:val="center"/>
        <w:rPr>
          <w:b/>
          <w:sz w:val="24"/>
          <w:szCs w:val="24"/>
          <w:u w:val="single"/>
          <w:lang w:val="sr-Cyrl-RS"/>
        </w:rPr>
      </w:pPr>
      <w:r w:rsidRPr="009254FB">
        <w:rPr>
          <w:b/>
          <w:sz w:val="24"/>
          <w:szCs w:val="24"/>
          <w:u w:val="single"/>
          <w:lang w:val="sr-Cyrl-RS"/>
        </w:rPr>
        <w:lastRenderedPageBreak/>
        <w:t>РЕГИСТРОВАНЕ ЕПИДЕМИЈЕ ЗАРАЗНИХ БОЛЕСТИ У АП ВОЈВОДИНИ У ПЕРИОДУ 2008-2017</w:t>
      </w:r>
    </w:p>
    <w:p w:rsidR="00FE5039" w:rsidRPr="00F33F8A" w:rsidRDefault="00BD3FC2" w:rsidP="00B03CC0">
      <w:pPr>
        <w:rPr>
          <w:i/>
        </w:rPr>
      </w:pPr>
      <w:r>
        <w:rPr>
          <w:lang w:val="sr-Cyrl-RS"/>
        </w:rPr>
        <w:t>У периоду од 2008-2017 на територији АП Војводине регистроване су 662 епидемије заразни</w:t>
      </w:r>
      <w:r w:rsidR="00617853">
        <w:rPr>
          <w:lang w:val="sr-Cyrl-RS"/>
        </w:rPr>
        <w:t>х болести са укупно 9943 оболелих  особа</w:t>
      </w:r>
      <w:r>
        <w:rPr>
          <w:lang w:val="sr-Cyrl-RS"/>
        </w:rPr>
        <w:t xml:space="preserve"> и 47 смртних исхода. </w:t>
      </w:r>
      <w:r w:rsidR="00FE5039">
        <w:t>Пошто се надзор над</w:t>
      </w:r>
      <w:r w:rsidR="00FE5039" w:rsidRPr="00104FAE">
        <w:rPr>
          <w:i/>
        </w:rPr>
        <w:t xml:space="preserve"> </w:t>
      </w:r>
      <w:r w:rsidR="00FE5039" w:rsidRPr="004E3CED">
        <w:rPr>
          <w:i/>
        </w:rPr>
        <w:t>Influenza</w:t>
      </w:r>
      <w:r w:rsidR="00FE5039">
        <w:rPr>
          <w:i/>
          <w:lang w:val="sr-Cyrl-RS"/>
        </w:rPr>
        <w:t>-оm</w:t>
      </w:r>
      <w:r w:rsidR="00FE5039">
        <w:t xml:space="preserve"> разликује од надзора над осталим заразним болестима, епидемиол</w:t>
      </w:r>
      <w:r>
        <w:t>ошка ситуација се посебно прати, анализа је дата посебно.</w:t>
      </w:r>
      <w:r w:rsidR="00FE5039" w:rsidRPr="00F33F8A">
        <w:rPr>
          <w:i/>
        </w:rPr>
        <w:t xml:space="preserve"> </w:t>
      </w:r>
    </w:p>
    <w:p w:rsidR="00FE5039" w:rsidRPr="00E630DF" w:rsidRDefault="00BD3FC2" w:rsidP="00B03CC0">
      <w:pPr>
        <w:pStyle w:val="Caption"/>
        <w:spacing w:after="160"/>
      </w:pPr>
      <w:r>
        <w:t xml:space="preserve">Табела </w:t>
      </w:r>
      <w:r w:rsidR="00073649">
        <w:t>6</w:t>
      </w:r>
      <w:r w:rsidR="00FE5039">
        <w:t>.</w:t>
      </w:r>
      <w:r w:rsidR="00FE5039" w:rsidRPr="00E630DF">
        <w:t xml:space="preserve"> Епидемије заразних болест</w:t>
      </w:r>
      <w:r w:rsidR="00FE5039">
        <w:t>и у АП Војводини у периоду од 2008. до 2017. године</w:t>
      </w:r>
      <w:r w:rsidR="00FE5039" w:rsidRPr="00E630DF">
        <w:t xml:space="preserve"> </w:t>
      </w:r>
    </w:p>
    <w:tbl>
      <w:tblPr>
        <w:tblStyle w:val="PlainTable51"/>
        <w:tblW w:w="7763" w:type="dxa"/>
        <w:jc w:val="center"/>
        <w:tblLook w:val="04A0" w:firstRow="1" w:lastRow="0" w:firstColumn="1" w:lastColumn="0" w:noHBand="0" w:noVBand="1"/>
      </w:tblPr>
      <w:tblGrid>
        <w:gridCol w:w="1129"/>
        <w:gridCol w:w="2152"/>
        <w:gridCol w:w="2242"/>
        <w:gridCol w:w="2240"/>
      </w:tblGrid>
      <w:tr w:rsidR="00FE5039" w:rsidRPr="00C038FA" w:rsidTr="00B03CC0">
        <w:trPr>
          <w:cnfStyle w:val="100000000000" w:firstRow="1" w:lastRow="0" w:firstColumn="0" w:lastColumn="0" w:oddVBand="0" w:evenVBand="0" w:oddHBand="0" w:evenHBand="0" w:firstRowFirstColumn="0" w:firstRowLastColumn="0" w:lastRowFirstColumn="0" w:lastRowLastColumn="0"/>
          <w:trHeight w:val="515"/>
          <w:jc w:val="center"/>
        </w:trPr>
        <w:tc>
          <w:tcPr>
            <w:cnfStyle w:val="001000000100" w:firstRow="0" w:lastRow="0" w:firstColumn="1" w:lastColumn="0" w:oddVBand="0" w:evenVBand="0" w:oddHBand="0" w:evenHBand="0" w:firstRowFirstColumn="1" w:firstRowLastColumn="0" w:lastRowFirstColumn="0" w:lastRowLastColumn="0"/>
            <w:tcW w:w="1129" w:type="dxa"/>
          </w:tcPr>
          <w:p w:rsidR="00FE5039" w:rsidRPr="00C038FA" w:rsidRDefault="00FE5039" w:rsidP="00B03CC0">
            <w:pPr>
              <w:spacing w:line="259" w:lineRule="auto"/>
              <w:ind w:right="8"/>
              <w:jc w:val="right"/>
              <w:rPr>
                <w:i w:val="0"/>
              </w:rPr>
            </w:pPr>
            <w:r w:rsidRPr="00C038FA">
              <w:rPr>
                <w:i w:val="0"/>
                <w:color w:val="FFFFFF"/>
              </w:rPr>
              <w:t xml:space="preserve">Година </w:t>
            </w:r>
          </w:p>
        </w:tc>
        <w:tc>
          <w:tcPr>
            <w:tcW w:w="2152" w:type="dxa"/>
          </w:tcPr>
          <w:p w:rsidR="00FE5039" w:rsidRPr="00C038FA" w:rsidRDefault="00FE5039" w:rsidP="00B03CC0">
            <w:pPr>
              <w:spacing w:line="259" w:lineRule="auto"/>
              <w:ind w:left="308" w:right="262"/>
              <w:jc w:val="right"/>
              <w:cnfStyle w:val="100000000000" w:firstRow="1" w:lastRow="0" w:firstColumn="0" w:lastColumn="0" w:oddVBand="0" w:evenVBand="0" w:oddHBand="0" w:evenHBand="0" w:firstRowFirstColumn="0" w:firstRowLastColumn="0" w:lastRowFirstColumn="0" w:lastRowLastColumn="0"/>
              <w:rPr>
                <w:i w:val="0"/>
              </w:rPr>
            </w:pPr>
            <w:r w:rsidRPr="00C038FA">
              <w:rPr>
                <w:i w:val="0"/>
                <w:color w:val="FFFFFF"/>
              </w:rPr>
              <w:t xml:space="preserve">Број епидемија </w:t>
            </w:r>
          </w:p>
        </w:tc>
        <w:tc>
          <w:tcPr>
            <w:tcW w:w="2242" w:type="dxa"/>
          </w:tcPr>
          <w:p w:rsidR="00FE5039" w:rsidRPr="00C038FA" w:rsidRDefault="00FE5039" w:rsidP="00B03CC0">
            <w:pPr>
              <w:spacing w:line="259" w:lineRule="auto"/>
              <w:jc w:val="right"/>
              <w:cnfStyle w:val="100000000000" w:firstRow="1" w:lastRow="0" w:firstColumn="0" w:lastColumn="0" w:oddVBand="0" w:evenVBand="0" w:oddHBand="0" w:evenHBand="0" w:firstRowFirstColumn="0" w:firstRowLastColumn="0" w:lastRowFirstColumn="0" w:lastRowLastColumn="0"/>
              <w:rPr>
                <w:i w:val="0"/>
              </w:rPr>
            </w:pPr>
            <w:r w:rsidRPr="00C038FA">
              <w:rPr>
                <w:i w:val="0"/>
                <w:color w:val="FFFFFF"/>
              </w:rPr>
              <w:t xml:space="preserve">Број оболелих у епидемијама </w:t>
            </w:r>
          </w:p>
        </w:tc>
        <w:tc>
          <w:tcPr>
            <w:tcW w:w="2240" w:type="dxa"/>
          </w:tcPr>
          <w:p w:rsidR="00FE5039" w:rsidRPr="00C038FA" w:rsidRDefault="00FE5039" w:rsidP="00B03CC0">
            <w:pPr>
              <w:spacing w:line="259" w:lineRule="auto"/>
              <w:jc w:val="right"/>
              <w:cnfStyle w:val="100000000000" w:firstRow="1" w:lastRow="0" w:firstColumn="0" w:lastColumn="0" w:oddVBand="0" w:evenVBand="0" w:oddHBand="0" w:evenHBand="0" w:firstRowFirstColumn="0" w:firstRowLastColumn="0" w:lastRowFirstColumn="0" w:lastRowLastColumn="0"/>
              <w:rPr>
                <w:i w:val="0"/>
              </w:rPr>
            </w:pPr>
            <w:r w:rsidRPr="00C038FA">
              <w:rPr>
                <w:i w:val="0"/>
                <w:color w:val="FFFFFF"/>
              </w:rPr>
              <w:t xml:space="preserve">Број умрлих у епидемијама </w:t>
            </w:r>
          </w:p>
        </w:tc>
      </w:tr>
      <w:tr w:rsidR="00FE5039" w:rsidRPr="00C038FA" w:rsidTr="00B03CC0">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129" w:type="dxa"/>
            <w:tcBorders>
              <w:top w:val="nil"/>
              <w:left w:val="nil"/>
              <w:bottom w:val="nil"/>
              <w:right w:val="single" w:sz="8" w:space="0" w:color="7F7F7F"/>
            </w:tcBorders>
            <w:shd w:val="clear" w:color="000000" w:fill="FFFFFF"/>
          </w:tcPr>
          <w:p w:rsidR="00FE5039" w:rsidRPr="0043789C" w:rsidRDefault="00FE5039" w:rsidP="00B03CC0">
            <w:pPr>
              <w:jc w:val="right"/>
              <w:rPr>
                <w:rFonts w:ascii="Century Gothic" w:hAnsi="Century Gothic" w:cs="Times New Roman"/>
                <w:i w:val="0"/>
                <w:color w:val="000000"/>
                <w:szCs w:val="20"/>
              </w:rPr>
            </w:pPr>
            <w:r w:rsidRPr="0043789C">
              <w:rPr>
                <w:rFonts w:ascii="Century Gothic" w:hAnsi="Century Gothic"/>
                <w:i w:val="0"/>
                <w:color w:val="000000"/>
                <w:szCs w:val="20"/>
              </w:rPr>
              <w:t>2008</w:t>
            </w:r>
          </w:p>
        </w:tc>
        <w:tc>
          <w:tcPr>
            <w:tcW w:w="2152" w:type="dxa"/>
            <w:tcBorders>
              <w:top w:val="nil"/>
              <w:left w:val="nil"/>
              <w:bottom w:val="nil"/>
              <w:right w:val="nil"/>
            </w:tcBorders>
            <w:shd w:val="clear" w:color="auto" w:fill="auto"/>
          </w:tcPr>
          <w:p w:rsidR="00FE5039" w:rsidRPr="0043789C"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97</w:t>
            </w:r>
          </w:p>
        </w:tc>
        <w:tc>
          <w:tcPr>
            <w:tcW w:w="2242" w:type="dxa"/>
            <w:tcBorders>
              <w:top w:val="nil"/>
              <w:left w:val="nil"/>
              <w:bottom w:val="nil"/>
              <w:right w:val="nil"/>
            </w:tcBorders>
            <w:shd w:val="clear" w:color="auto" w:fill="auto"/>
          </w:tcPr>
          <w:p w:rsidR="00FE5039" w:rsidRPr="0043789C"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1094</w:t>
            </w:r>
          </w:p>
        </w:tc>
        <w:tc>
          <w:tcPr>
            <w:tcW w:w="2240" w:type="dxa"/>
            <w:tcBorders>
              <w:top w:val="nil"/>
              <w:left w:val="nil"/>
              <w:bottom w:val="nil"/>
              <w:right w:val="nil"/>
            </w:tcBorders>
            <w:shd w:val="clear" w:color="auto" w:fill="auto"/>
          </w:tcPr>
          <w:p w:rsidR="00FE5039" w:rsidRPr="0043789C"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2</w:t>
            </w:r>
          </w:p>
        </w:tc>
      </w:tr>
      <w:tr w:rsidR="00FE5039" w:rsidRPr="00C038FA" w:rsidTr="00B03CC0">
        <w:trPr>
          <w:cnfStyle w:val="000000010000" w:firstRow="0" w:lastRow="0" w:firstColumn="0" w:lastColumn="0" w:oddVBand="0" w:evenVBand="0" w:oddHBand="0" w:evenHBand="1" w:firstRowFirstColumn="0" w:firstRowLastColumn="0" w:lastRowFirstColumn="0" w:lastRowLastColumn="0"/>
          <w:trHeight w:val="252"/>
          <w:jc w:val="center"/>
        </w:trPr>
        <w:tc>
          <w:tcPr>
            <w:cnfStyle w:val="001000000000" w:firstRow="0" w:lastRow="0" w:firstColumn="1" w:lastColumn="0" w:oddVBand="0" w:evenVBand="0" w:oddHBand="0" w:evenHBand="0" w:firstRowFirstColumn="0" w:firstRowLastColumn="0" w:lastRowFirstColumn="0" w:lastRowLastColumn="0"/>
            <w:tcW w:w="1129" w:type="dxa"/>
            <w:tcBorders>
              <w:top w:val="nil"/>
              <w:left w:val="nil"/>
              <w:bottom w:val="nil"/>
              <w:right w:val="single" w:sz="8" w:space="0" w:color="7F7F7F"/>
            </w:tcBorders>
            <w:shd w:val="clear" w:color="000000" w:fill="FFFFFF"/>
          </w:tcPr>
          <w:p w:rsidR="00FE5039" w:rsidRPr="0043789C" w:rsidRDefault="00FE5039" w:rsidP="00B03CC0">
            <w:pPr>
              <w:jc w:val="right"/>
              <w:rPr>
                <w:rFonts w:ascii="Century Gothic" w:hAnsi="Century Gothic" w:cs="Times New Roman"/>
                <w:i w:val="0"/>
                <w:color w:val="000000"/>
                <w:szCs w:val="20"/>
              </w:rPr>
            </w:pPr>
            <w:r w:rsidRPr="0043789C">
              <w:rPr>
                <w:rFonts w:ascii="Century Gothic" w:hAnsi="Century Gothic"/>
                <w:i w:val="0"/>
                <w:color w:val="000000"/>
                <w:szCs w:val="20"/>
              </w:rPr>
              <w:t>2009</w:t>
            </w:r>
          </w:p>
        </w:tc>
        <w:tc>
          <w:tcPr>
            <w:tcW w:w="2152" w:type="dxa"/>
            <w:tcBorders>
              <w:top w:val="nil"/>
              <w:left w:val="nil"/>
              <w:bottom w:val="nil"/>
              <w:right w:val="nil"/>
            </w:tcBorders>
            <w:shd w:val="clear" w:color="000000" w:fill="F2F2F2"/>
          </w:tcPr>
          <w:p w:rsidR="00FE5039" w:rsidRPr="0043789C"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67</w:t>
            </w:r>
          </w:p>
        </w:tc>
        <w:tc>
          <w:tcPr>
            <w:tcW w:w="2242" w:type="dxa"/>
            <w:tcBorders>
              <w:top w:val="nil"/>
              <w:left w:val="nil"/>
              <w:bottom w:val="nil"/>
              <w:right w:val="nil"/>
            </w:tcBorders>
            <w:shd w:val="clear" w:color="000000" w:fill="F2F2F2"/>
          </w:tcPr>
          <w:p w:rsidR="00FE5039" w:rsidRPr="0043789C"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1550</w:t>
            </w:r>
          </w:p>
        </w:tc>
        <w:tc>
          <w:tcPr>
            <w:tcW w:w="2240" w:type="dxa"/>
            <w:tcBorders>
              <w:top w:val="nil"/>
              <w:left w:val="nil"/>
              <w:bottom w:val="nil"/>
              <w:right w:val="nil"/>
            </w:tcBorders>
            <w:shd w:val="clear" w:color="000000" w:fill="F2F2F2"/>
          </w:tcPr>
          <w:p w:rsidR="00FE5039" w:rsidRPr="0043789C"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9</w:t>
            </w:r>
          </w:p>
        </w:tc>
      </w:tr>
      <w:tr w:rsidR="00FE5039" w:rsidRPr="00C038FA" w:rsidTr="00B03CC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129" w:type="dxa"/>
            <w:tcBorders>
              <w:top w:val="nil"/>
              <w:left w:val="nil"/>
              <w:bottom w:val="nil"/>
              <w:right w:val="single" w:sz="8" w:space="0" w:color="7F7F7F"/>
            </w:tcBorders>
            <w:shd w:val="clear" w:color="000000" w:fill="FFFFFF"/>
          </w:tcPr>
          <w:p w:rsidR="00FE5039" w:rsidRPr="0043789C" w:rsidRDefault="00FE5039" w:rsidP="00B03CC0">
            <w:pPr>
              <w:jc w:val="right"/>
              <w:rPr>
                <w:rFonts w:ascii="Century Gothic" w:hAnsi="Century Gothic" w:cs="Times New Roman"/>
                <w:i w:val="0"/>
                <w:color w:val="000000"/>
                <w:szCs w:val="20"/>
              </w:rPr>
            </w:pPr>
            <w:r w:rsidRPr="0043789C">
              <w:rPr>
                <w:rFonts w:ascii="Century Gothic" w:hAnsi="Century Gothic"/>
                <w:i w:val="0"/>
                <w:color w:val="000000"/>
                <w:szCs w:val="20"/>
              </w:rPr>
              <w:t>2010</w:t>
            </w:r>
          </w:p>
        </w:tc>
        <w:tc>
          <w:tcPr>
            <w:tcW w:w="2152" w:type="dxa"/>
            <w:tcBorders>
              <w:top w:val="nil"/>
              <w:left w:val="nil"/>
              <w:bottom w:val="nil"/>
              <w:right w:val="nil"/>
            </w:tcBorders>
            <w:shd w:val="clear" w:color="auto" w:fill="auto"/>
          </w:tcPr>
          <w:p w:rsidR="00FE5039" w:rsidRPr="0043789C"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69</w:t>
            </w:r>
          </w:p>
        </w:tc>
        <w:tc>
          <w:tcPr>
            <w:tcW w:w="2242" w:type="dxa"/>
            <w:tcBorders>
              <w:top w:val="nil"/>
              <w:left w:val="nil"/>
              <w:bottom w:val="nil"/>
              <w:right w:val="nil"/>
            </w:tcBorders>
            <w:shd w:val="clear" w:color="auto" w:fill="auto"/>
          </w:tcPr>
          <w:p w:rsidR="00FE5039" w:rsidRPr="0043789C"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779</w:t>
            </w:r>
          </w:p>
        </w:tc>
        <w:tc>
          <w:tcPr>
            <w:tcW w:w="2240" w:type="dxa"/>
            <w:tcBorders>
              <w:top w:val="nil"/>
              <w:left w:val="nil"/>
              <w:bottom w:val="nil"/>
              <w:right w:val="nil"/>
            </w:tcBorders>
            <w:shd w:val="clear" w:color="auto" w:fill="auto"/>
          </w:tcPr>
          <w:p w:rsidR="00FE5039" w:rsidRPr="0043789C"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0</w:t>
            </w:r>
          </w:p>
        </w:tc>
      </w:tr>
      <w:tr w:rsidR="00FE5039" w:rsidRPr="00C038FA"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129" w:type="dxa"/>
            <w:tcBorders>
              <w:top w:val="nil"/>
              <w:left w:val="nil"/>
              <w:bottom w:val="nil"/>
              <w:right w:val="single" w:sz="8" w:space="0" w:color="7F7F7F"/>
            </w:tcBorders>
            <w:shd w:val="clear" w:color="000000" w:fill="FFFFFF"/>
          </w:tcPr>
          <w:p w:rsidR="00FE5039" w:rsidRPr="0043789C" w:rsidRDefault="00FE5039" w:rsidP="00B03CC0">
            <w:pPr>
              <w:jc w:val="right"/>
              <w:rPr>
                <w:rFonts w:ascii="Century Gothic" w:hAnsi="Century Gothic" w:cs="Times New Roman"/>
                <w:i w:val="0"/>
                <w:color w:val="000000"/>
                <w:szCs w:val="20"/>
              </w:rPr>
            </w:pPr>
            <w:r w:rsidRPr="0043789C">
              <w:rPr>
                <w:rFonts w:ascii="Century Gothic" w:hAnsi="Century Gothic"/>
                <w:i w:val="0"/>
                <w:color w:val="000000"/>
                <w:szCs w:val="20"/>
              </w:rPr>
              <w:t>2011</w:t>
            </w:r>
          </w:p>
        </w:tc>
        <w:tc>
          <w:tcPr>
            <w:tcW w:w="2152" w:type="dxa"/>
            <w:tcBorders>
              <w:top w:val="nil"/>
              <w:left w:val="nil"/>
              <w:bottom w:val="nil"/>
              <w:right w:val="nil"/>
            </w:tcBorders>
            <w:shd w:val="clear" w:color="000000" w:fill="F2F2F2"/>
          </w:tcPr>
          <w:p w:rsidR="00FE5039" w:rsidRPr="0043789C"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57</w:t>
            </w:r>
          </w:p>
        </w:tc>
        <w:tc>
          <w:tcPr>
            <w:tcW w:w="2242" w:type="dxa"/>
            <w:tcBorders>
              <w:top w:val="nil"/>
              <w:left w:val="nil"/>
              <w:bottom w:val="nil"/>
              <w:right w:val="nil"/>
            </w:tcBorders>
            <w:shd w:val="clear" w:color="000000" w:fill="F2F2F2"/>
          </w:tcPr>
          <w:p w:rsidR="00FE5039" w:rsidRPr="0043789C"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1164</w:t>
            </w:r>
          </w:p>
        </w:tc>
        <w:tc>
          <w:tcPr>
            <w:tcW w:w="2240" w:type="dxa"/>
            <w:tcBorders>
              <w:top w:val="nil"/>
              <w:left w:val="nil"/>
              <w:bottom w:val="nil"/>
              <w:right w:val="nil"/>
            </w:tcBorders>
            <w:shd w:val="clear" w:color="000000" w:fill="F2F2F2"/>
          </w:tcPr>
          <w:p w:rsidR="00FE5039" w:rsidRPr="0043789C"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4</w:t>
            </w:r>
          </w:p>
        </w:tc>
      </w:tr>
      <w:tr w:rsidR="00FE5039" w:rsidRPr="00C038FA" w:rsidTr="00B03CC0">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129" w:type="dxa"/>
            <w:tcBorders>
              <w:top w:val="nil"/>
              <w:left w:val="nil"/>
              <w:bottom w:val="nil"/>
              <w:right w:val="single" w:sz="8" w:space="0" w:color="7F7F7F"/>
            </w:tcBorders>
            <w:shd w:val="clear" w:color="000000" w:fill="FFFFFF"/>
          </w:tcPr>
          <w:p w:rsidR="00FE5039" w:rsidRPr="0043789C" w:rsidRDefault="00FE5039" w:rsidP="00B03CC0">
            <w:pPr>
              <w:jc w:val="right"/>
              <w:rPr>
                <w:rFonts w:ascii="Century Gothic" w:hAnsi="Century Gothic" w:cs="Times New Roman"/>
                <w:i w:val="0"/>
                <w:color w:val="000000"/>
                <w:szCs w:val="20"/>
              </w:rPr>
            </w:pPr>
            <w:r w:rsidRPr="0043789C">
              <w:rPr>
                <w:rFonts w:ascii="Century Gothic" w:hAnsi="Century Gothic"/>
                <w:i w:val="0"/>
                <w:color w:val="000000"/>
                <w:szCs w:val="20"/>
              </w:rPr>
              <w:t>2012</w:t>
            </w:r>
          </w:p>
        </w:tc>
        <w:tc>
          <w:tcPr>
            <w:tcW w:w="2152" w:type="dxa"/>
            <w:tcBorders>
              <w:top w:val="nil"/>
              <w:left w:val="nil"/>
              <w:bottom w:val="nil"/>
              <w:right w:val="nil"/>
            </w:tcBorders>
            <w:shd w:val="clear" w:color="auto" w:fill="auto"/>
          </w:tcPr>
          <w:p w:rsidR="00FE5039" w:rsidRPr="0043789C"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60</w:t>
            </w:r>
          </w:p>
        </w:tc>
        <w:tc>
          <w:tcPr>
            <w:tcW w:w="2242" w:type="dxa"/>
            <w:tcBorders>
              <w:top w:val="nil"/>
              <w:left w:val="nil"/>
              <w:bottom w:val="nil"/>
              <w:right w:val="nil"/>
            </w:tcBorders>
            <w:shd w:val="clear" w:color="auto" w:fill="auto"/>
          </w:tcPr>
          <w:p w:rsidR="00FE5039" w:rsidRPr="0043789C"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947</w:t>
            </w:r>
          </w:p>
        </w:tc>
        <w:tc>
          <w:tcPr>
            <w:tcW w:w="2240" w:type="dxa"/>
            <w:tcBorders>
              <w:top w:val="nil"/>
              <w:left w:val="nil"/>
              <w:bottom w:val="nil"/>
              <w:right w:val="nil"/>
            </w:tcBorders>
            <w:shd w:val="clear" w:color="auto" w:fill="auto"/>
          </w:tcPr>
          <w:p w:rsidR="00FE5039" w:rsidRPr="0043789C"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6</w:t>
            </w:r>
          </w:p>
        </w:tc>
      </w:tr>
      <w:tr w:rsidR="00FE5039" w:rsidRPr="00C038FA" w:rsidTr="00B03CC0">
        <w:trPr>
          <w:cnfStyle w:val="000000010000" w:firstRow="0" w:lastRow="0" w:firstColumn="0" w:lastColumn="0" w:oddVBand="0" w:evenVBand="0" w:oddHBand="0" w:evenHBand="1" w:firstRowFirstColumn="0" w:firstRowLastColumn="0" w:lastRowFirstColumn="0" w:lastRowLastColumn="0"/>
          <w:trHeight w:val="264"/>
          <w:jc w:val="center"/>
        </w:trPr>
        <w:tc>
          <w:tcPr>
            <w:cnfStyle w:val="001000000000" w:firstRow="0" w:lastRow="0" w:firstColumn="1" w:lastColumn="0" w:oddVBand="0" w:evenVBand="0" w:oddHBand="0" w:evenHBand="0" w:firstRowFirstColumn="0" w:firstRowLastColumn="0" w:lastRowFirstColumn="0" w:lastRowLastColumn="0"/>
            <w:tcW w:w="1129" w:type="dxa"/>
            <w:tcBorders>
              <w:top w:val="nil"/>
              <w:left w:val="nil"/>
              <w:bottom w:val="nil"/>
              <w:right w:val="single" w:sz="8" w:space="0" w:color="7F7F7F"/>
            </w:tcBorders>
            <w:shd w:val="clear" w:color="000000" w:fill="FFFFFF"/>
          </w:tcPr>
          <w:p w:rsidR="00FE5039" w:rsidRPr="0043789C" w:rsidRDefault="00FE5039" w:rsidP="00B03CC0">
            <w:pPr>
              <w:jc w:val="right"/>
              <w:rPr>
                <w:rFonts w:ascii="Century Gothic" w:hAnsi="Century Gothic" w:cs="Times New Roman"/>
                <w:i w:val="0"/>
                <w:color w:val="000000"/>
                <w:szCs w:val="20"/>
              </w:rPr>
            </w:pPr>
            <w:r w:rsidRPr="0043789C">
              <w:rPr>
                <w:rFonts w:ascii="Century Gothic" w:hAnsi="Century Gothic"/>
                <w:i w:val="0"/>
                <w:color w:val="000000"/>
                <w:szCs w:val="20"/>
              </w:rPr>
              <w:t>2013</w:t>
            </w:r>
          </w:p>
        </w:tc>
        <w:tc>
          <w:tcPr>
            <w:tcW w:w="2152" w:type="dxa"/>
            <w:tcBorders>
              <w:top w:val="nil"/>
              <w:left w:val="nil"/>
              <w:bottom w:val="nil"/>
              <w:right w:val="nil"/>
            </w:tcBorders>
            <w:shd w:val="clear" w:color="000000" w:fill="F2F2F2"/>
          </w:tcPr>
          <w:p w:rsidR="00FE5039" w:rsidRPr="0043789C"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73</w:t>
            </w:r>
          </w:p>
        </w:tc>
        <w:tc>
          <w:tcPr>
            <w:tcW w:w="2242" w:type="dxa"/>
            <w:tcBorders>
              <w:top w:val="nil"/>
              <w:left w:val="nil"/>
              <w:bottom w:val="nil"/>
              <w:right w:val="nil"/>
            </w:tcBorders>
            <w:shd w:val="clear" w:color="000000" w:fill="F2F2F2"/>
          </w:tcPr>
          <w:p w:rsidR="00FE5039" w:rsidRPr="0043789C"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1156</w:t>
            </w:r>
          </w:p>
        </w:tc>
        <w:tc>
          <w:tcPr>
            <w:tcW w:w="2240" w:type="dxa"/>
            <w:tcBorders>
              <w:top w:val="nil"/>
              <w:left w:val="nil"/>
              <w:bottom w:val="nil"/>
              <w:right w:val="nil"/>
            </w:tcBorders>
            <w:shd w:val="clear" w:color="000000" w:fill="F2F2F2"/>
          </w:tcPr>
          <w:p w:rsidR="00FE5039" w:rsidRPr="0043789C"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9</w:t>
            </w:r>
          </w:p>
        </w:tc>
      </w:tr>
      <w:tr w:rsidR="00FE5039" w:rsidRPr="00C038FA" w:rsidTr="00B03CC0">
        <w:trPr>
          <w:cnfStyle w:val="000000100000" w:firstRow="0" w:lastRow="0" w:firstColumn="0" w:lastColumn="0" w:oddVBand="0" w:evenVBand="0" w:oddHBand="1" w:evenHBand="0" w:firstRowFirstColumn="0" w:firstRowLastColumn="0" w:lastRowFirstColumn="0" w:lastRowLastColumn="0"/>
          <w:trHeight w:val="264"/>
          <w:jc w:val="center"/>
        </w:trPr>
        <w:tc>
          <w:tcPr>
            <w:cnfStyle w:val="001000000000" w:firstRow="0" w:lastRow="0" w:firstColumn="1" w:lastColumn="0" w:oddVBand="0" w:evenVBand="0" w:oddHBand="0" w:evenHBand="0" w:firstRowFirstColumn="0" w:firstRowLastColumn="0" w:lastRowFirstColumn="0" w:lastRowLastColumn="0"/>
            <w:tcW w:w="1129" w:type="dxa"/>
            <w:tcBorders>
              <w:top w:val="nil"/>
              <w:left w:val="nil"/>
              <w:bottom w:val="nil"/>
              <w:right w:val="single" w:sz="8" w:space="0" w:color="7F7F7F"/>
            </w:tcBorders>
            <w:shd w:val="clear" w:color="000000" w:fill="FFFFFF"/>
          </w:tcPr>
          <w:p w:rsidR="00FE5039" w:rsidRPr="0043789C" w:rsidRDefault="00FE5039" w:rsidP="00B03CC0">
            <w:pPr>
              <w:jc w:val="right"/>
              <w:rPr>
                <w:rFonts w:ascii="Century Gothic" w:hAnsi="Century Gothic" w:cs="Times New Roman"/>
                <w:i w:val="0"/>
                <w:color w:val="000000"/>
                <w:szCs w:val="20"/>
              </w:rPr>
            </w:pPr>
            <w:r w:rsidRPr="0043789C">
              <w:rPr>
                <w:rFonts w:ascii="Century Gothic" w:hAnsi="Century Gothic"/>
                <w:i w:val="0"/>
                <w:color w:val="000000"/>
                <w:szCs w:val="20"/>
              </w:rPr>
              <w:t>2014</w:t>
            </w:r>
          </w:p>
        </w:tc>
        <w:tc>
          <w:tcPr>
            <w:tcW w:w="2152" w:type="dxa"/>
            <w:tcBorders>
              <w:top w:val="nil"/>
              <w:left w:val="nil"/>
              <w:bottom w:val="nil"/>
              <w:right w:val="nil"/>
            </w:tcBorders>
            <w:shd w:val="clear" w:color="auto" w:fill="auto"/>
          </w:tcPr>
          <w:p w:rsidR="00FE5039" w:rsidRPr="0043789C"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63</w:t>
            </w:r>
          </w:p>
        </w:tc>
        <w:tc>
          <w:tcPr>
            <w:tcW w:w="2242" w:type="dxa"/>
            <w:tcBorders>
              <w:top w:val="nil"/>
              <w:left w:val="nil"/>
              <w:bottom w:val="nil"/>
              <w:right w:val="nil"/>
            </w:tcBorders>
            <w:shd w:val="clear" w:color="auto" w:fill="auto"/>
          </w:tcPr>
          <w:p w:rsidR="00FE5039" w:rsidRPr="0043789C"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748</w:t>
            </w:r>
          </w:p>
        </w:tc>
        <w:tc>
          <w:tcPr>
            <w:tcW w:w="2240" w:type="dxa"/>
            <w:tcBorders>
              <w:top w:val="nil"/>
              <w:left w:val="nil"/>
              <w:bottom w:val="nil"/>
              <w:right w:val="nil"/>
            </w:tcBorders>
            <w:shd w:val="clear" w:color="auto" w:fill="auto"/>
          </w:tcPr>
          <w:p w:rsidR="00FE5039" w:rsidRPr="0043789C"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3</w:t>
            </w:r>
          </w:p>
        </w:tc>
      </w:tr>
      <w:tr w:rsidR="00FE5039" w:rsidRPr="00C038FA" w:rsidTr="00B03CC0">
        <w:trPr>
          <w:cnfStyle w:val="000000010000" w:firstRow="0" w:lastRow="0" w:firstColumn="0" w:lastColumn="0" w:oddVBand="0" w:evenVBand="0" w:oddHBand="0" w:evenHBand="1" w:firstRowFirstColumn="0" w:firstRowLastColumn="0" w:lastRowFirstColumn="0" w:lastRowLastColumn="0"/>
          <w:trHeight w:val="264"/>
          <w:jc w:val="center"/>
        </w:trPr>
        <w:tc>
          <w:tcPr>
            <w:cnfStyle w:val="001000000000" w:firstRow="0" w:lastRow="0" w:firstColumn="1" w:lastColumn="0" w:oddVBand="0" w:evenVBand="0" w:oddHBand="0" w:evenHBand="0" w:firstRowFirstColumn="0" w:firstRowLastColumn="0" w:lastRowFirstColumn="0" w:lastRowLastColumn="0"/>
            <w:tcW w:w="1129" w:type="dxa"/>
            <w:tcBorders>
              <w:top w:val="nil"/>
              <w:left w:val="nil"/>
              <w:bottom w:val="nil"/>
              <w:right w:val="single" w:sz="8" w:space="0" w:color="7F7F7F"/>
            </w:tcBorders>
            <w:shd w:val="clear" w:color="000000" w:fill="FFFFFF"/>
          </w:tcPr>
          <w:p w:rsidR="00FE5039" w:rsidRPr="0043789C" w:rsidRDefault="00FE5039" w:rsidP="00B03CC0">
            <w:pPr>
              <w:jc w:val="right"/>
              <w:rPr>
                <w:rFonts w:ascii="Century Gothic" w:hAnsi="Century Gothic" w:cs="Times New Roman"/>
                <w:i w:val="0"/>
                <w:color w:val="000000"/>
                <w:szCs w:val="20"/>
              </w:rPr>
            </w:pPr>
            <w:r w:rsidRPr="0043789C">
              <w:rPr>
                <w:rFonts w:ascii="Century Gothic" w:hAnsi="Century Gothic"/>
                <w:i w:val="0"/>
                <w:color w:val="000000"/>
                <w:szCs w:val="20"/>
              </w:rPr>
              <w:t>2015</w:t>
            </w:r>
          </w:p>
        </w:tc>
        <w:tc>
          <w:tcPr>
            <w:tcW w:w="2152" w:type="dxa"/>
            <w:tcBorders>
              <w:top w:val="nil"/>
              <w:left w:val="nil"/>
              <w:bottom w:val="nil"/>
              <w:right w:val="nil"/>
            </w:tcBorders>
            <w:shd w:val="clear" w:color="000000" w:fill="F2F2F2"/>
          </w:tcPr>
          <w:p w:rsidR="00FE5039" w:rsidRPr="0043789C"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70</w:t>
            </w:r>
          </w:p>
        </w:tc>
        <w:tc>
          <w:tcPr>
            <w:tcW w:w="2242" w:type="dxa"/>
            <w:tcBorders>
              <w:top w:val="nil"/>
              <w:left w:val="nil"/>
              <w:bottom w:val="nil"/>
              <w:right w:val="nil"/>
            </w:tcBorders>
            <w:shd w:val="clear" w:color="000000" w:fill="F2F2F2"/>
          </w:tcPr>
          <w:p w:rsidR="00FE5039" w:rsidRPr="0043789C"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717</w:t>
            </w:r>
          </w:p>
        </w:tc>
        <w:tc>
          <w:tcPr>
            <w:tcW w:w="2240" w:type="dxa"/>
            <w:tcBorders>
              <w:top w:val="nil"/>
              <w:left w:val="nil"/>
              <w:bottom w:val="nil"/>
              <w:right w:val="nil"/>
            </w:tcBorders>
            <w:shd w:val="clear" w:color="000000" w:fill="F2F2F2"/>
          </w:tcPr>
          <w:p w:rsidR="00FE5039" w:rsidRPr="0043789C"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6</w:t>
            </w:r>
          </w:p>
        </w:tc>
      </w:tr>
      <w:tr w:rsidR="00FE5039" w:rsidRPr="00C038FA" w:rsidTr="00B03CC0">
        <w:trPr>
          <w:cnfStyle w:val="000000100000" w:firstRow="0" w:lastRow="0" w:firstColumn="0" w:lastColumn="0" w:oddVBand="0" w:evenVBand="0" w:oddHBand="1" w:evenHBand="0" w:firstRowFirstColumn="0" w:firstRowLastColumn="0" w:lastRowFirstColumn="0" w:lastRowLastColumn="0"/>
          <w:trHeight w:val="264"/>
          <w:jc w:val="center"/>
        </w:trPr>
        <w:tc>
          <w:tcPr>
            <w:cnfStyle w:val="001000000000" w:firstRow="0" w:lastRow="0" w:firstColumn="1" w:lastColumn="0" w:oddVBand="0" w:evenVBand="0" w:oddHBand="0" w:evenHBand="0" w:firstRowFirstColumn="0" w:firstRowLastColumn="0" w:lastRowFirstColumn="0" w:lastRowLastColumn="0"/>
            <w:tcW w:w="1129" w:type="dxa"/>
            <w:tcBorders>
              <w:top w:val="nil"/>
              <w:left w:val="nil"/>
              <w:bottom w:val="nil"/>
              <w:right w:val="single" w:sz="8" w:space="0" w:color="7F7F7F"/>
            </w:tcBorders>
            <w:shd w:val="clear" w:color="000000" w:fill="FFFFFF"/>
          </w:tcPr>
          <w:p w:rsidR="00FE5039" w:rsidRPr="0043789C" w:rsidRDefault="00FE5039" w:rsidP="00B03CC0">
            <w:pPr>
              <w:jc w:val="right"/>
              <w:rPr>
                <w:rFonts w:ascii="Century Gothic" w:hAnsi="Century Gothic" w:cs="Times New Roman"/>
                <w:i w:val="0"/>
                <w:color w:val="000000"/>
                <w:szCs w:val="20"/>
              </w:rPr>
            </w:pPr>
            <w:r w:rsidRPr="0043789C">
              <w:rPr>
                <w:rFonts w:ascii="Century Gothic" w:hAnsi="Century Gothic"/>
                <w:i w:val="0"/>
                <w:iCs w:val="0"/>
                <w:color w:val="000000"/>
                <w:szCs w:val="20"/>
              </w:rPr>
              <w:t>2016</w:t>
            </w:r>
          </w:p>
        </w:tc>
        <w:tc>
          <w:tcPr>
            <w:tcW w:w="2152" w:type="dxa"/>
            <w:tcBorders>
              <w:top w:val="nil"/>
              <w:left w:val="nil"/>
              <w:bottom w:val="nil"/>
              <w:right w:val="nil"/>
            </w:tcBorders>
            <w:shd w:val="clear" w:color="auto" w:fill="auto"/>
          </w:tcPr>
          <w:p w:rsidR="00FE5039" w:rsidRPr="0043789C"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72</w:t>
            </w:r>
          </w:p>
        </w:tc>
        <w:tc>
          <w:tcPr>
            <w:tcW w:w="2242" w:type="dxa"/>
            <w:tcBorders>
              <w:top w:val="nil"/>
              <w:left w:val="nil"/>
              <w:bottom w:val="nil"/>
              <w:right w:val="nil"/>
            </w:tcBorders>
            <w:shd w:val="clear" w:color="auto" w:fill="auto"/>
          </w:tcPr>
          <w:p w:rsidR="00FE5039" w:rsidRPr="0043789C"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935</w:t>
            </w:r>
          </w:p>
        </w:tc>
        <w:tc>
          <w:tcPr>
            <w:tcW w:w="2240" w:type="dxa"/>
            <w:tcBorders>
              <w:top w:val="nil"/>
              <w:left w:val="nil"/>
              <w:bottom w:val="nil"/>
              <w:right w:val="nil"/>
            </w:tcBorders>
            <w:shd w:val="clear" w:color="auto" w:fill="auto"/>
          </w:tcPr>
          <w:p w:rsidR="00FE5039" w:rsidRPr="0043789C"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8</w:t>
            </w:r>
          </w:p>
        </w:tc>
      </w:tr>
      <w:tr w:rsidR="00FE5039" w:rsidRPr="00C038FA" w:rsidTr="00B03CC0">
        <w:trPr>
          <w:cnfStyle w:val="000000010000" w:firstRow="0" w:lastRow="0" w:firstColumn="0" w:lastColumn="0" w:oddVBand="0" w:evenVBand="0" w:oddHBand="0" w:evenHBand="1" w:firstRowFirstColumn="0" w:firstRowLastColumn="0" w:lastRowFirstColumn="0" w:lastRowLastColumn="0"/>
          <w:trHeight w:val="264"/>
          <w:jc w:val="center"/>
        </w:trPr>
        <w:tc>
          <w:tcPr>
            <w:cnfStyle w:val="001000000000" w:firstRow="0" w:lastRow="0" w:firstColumn="1" w:lastColumn="0" w:oddVBand="0" w:evenVBand="0" w:oddHBand="0" w:evenHBand="0" w:firstRowFirstColumn="0" w:firstRowLastColumn="0" w:lastRowFirstColumn="0" w:lastRowLastColumn="0"/>
            <w:tcW w:w="1129" w:type="dxa"/>
            <w:tcBorders>
              <w:top w:val="nil"/>
              <w:left w:val="nil"/>
              <w:bottom w:val="nil"/>
              <w:right w:val="single" w:sz="8" w:space="0" w:color="7F7F7F"/>
            </w:tcBorders>
            <w:shd w:val="clear" w:color="000000" w:fill="FFFFFF"/>
          </w:tcPr>
          <w:p w:rsidR="00FE5039" w:rsidRPr="0043789C" w:rsidRDefault="00FE5039" w:rsidP="00B03CC0">
            <w:pPr>
              <w:jc w:val="right"/>
              <w:rPr>
                <w:rFonts w:ascii="Century Gothic" w:hAnsi="Century Gothic"/>
                <w:color w:val="000000"/>
                <w:szCs w:val="20"/>
              </w:rPr>
            </w:pPr>
            <w:r>
              <w:rPr>
                <w:rFonts w:ascii="Century Gothic" w:hAnsi="Century Gothic"/>
                <w:color w:val="000000"/>
                <w:szCs w:val="20"/>
              </w:rPr>
              <w:t>2017</w:t>
            </w:r>
          </w:p>
        </w:tc>
        <w:tc>
          <w:tcPr>
            <w:tcW w:w="2152" w:type="dxa"/>
            <w:tcBorders>
              <w:top w:val="nil"/>
              <w:left w:val="nil"/>
              <w:bottom w:val="nil"/>
              <w:right w:val="nil"/>
            </w:tcBorders>
            <w:shd w:val="clear" w:color="auto" w:fill="auto"/>
          </w:tcPr>
          <w:p w:rsidR="00FE5039" w:rsidRPr="002B3C05"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lang w:val="sr-Cyrl-RS"/>
              </w:rPr>
            </w:pPr>
            <w:r>
              <w:rPr>
                <w:rFonts w:ascii="Century Gothic" w:hAnsi="Century Gothic" w:cs="Arial"/>
                <w:color w:val="000000"/>
                <w:szCs w:val="20"/>
                <w:lang w:val="sr-Cyrl-RS"/>
              </w:rPr>
              <w:t>34</w:t>
            </w:r>
          </w:p>
        </w:tc>
        <w:tc>
          <w:tcPr>
            <w:tcW w:w="2242" w:type="dxa"/>
            <w:tcBorders>
              <w:top w:val="nil"/>
              <w:left w:val="nil"/>
              <w:bottom w:val="nil"/>
              <w:right w:val="nil"/>
            </w:tcBorders>
            <w:shd w:val="clear" w:color="auto" w:fill="auto"/>
          </w:tcPr>
          <w:p w:rsidR="00FE5039" w:rsidRPr="002B3C05"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lang w:val="sr-Cyrl-RS"/>
              </w:rPr>
            </w:pPr>
            <w:r>
              <w:rPr>
                <w:rFonts w:ascii="Century Gothic" w:hAnsi="Century Gothic" w:cs="Arial"/>
                <w:color w:val="000000"/>
                <w:szCs w:val="20"/>
                <w:lang w:val="sr-Cyrl-RS"/>
              </w:rPr>
              <w:t>853</w:t>
            </w:r>
          </w:p>
        </w:tc>
        <w:tc>
          <w:tcPr>
            <w:tcW w:w="2240" w:type="dxa"/>
            <w:tcBorders>
              <w:top w:val="nil"/>
              <w:left w:val="nil"/>
              <w:bottom w:val="nil"/>
              <w:right w:val="nil"/>
            </w:tcBorders>
            <w:shd w:val="clear" w:color="auto" w:fill="auto"/>
          </w:tcPr>
          <w:p w:rsidR="00FE5039" w:rsidRPr="0043789C"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rPr>
            </w:pPr>
            <w:r>
              <w:rPr>
                <w:rFonts w:ascii="Century Gothic" w:hAnsi="Century Gothic" w:cs="Arial"/>
                <w:color w:val="000000"/>
                <w:szCs w:val="20"/>
              </w:rPr>
              <w:t>0</w:t>
            </w:r>
          </w:p>
        </w:tc>
      </w:tr>
      <w:tr w:rsidR="00FE5039" w:rsidRPr="00C038FA" w:rsidTr="00B03CC0">
        <w:trPr>
          <w:cnfStyle w:val="000000100000" w:firstRow="0" w:lastRow="0" w:firstColumn="0" w:lastColumn="0" w:oddVBand="0" w:evenVBand="0" w:oddHBand="1" w:evenHBand="0" w:firstRowFirstColumn="0" w:firstRowLastColumn="0" w:lastRowFirstColumn="0" w:lastRowLastColumn="0"/>
          <w:trHeight w:val="264"/>
          <w:jc w:val="center"/>
        </w:trPr>
        <w:tc>
          <w:tcPr>
            <w:cnfStyle w:val="001000000000" w:firstRow="0" w:lastRow="0" w:firstColumn="1" w:lastColumn="0" w:oddVBand="0" w:evenVBand="0" w:oddHBand="0" w:evenHBand="0" w:firstRowFirstColumn="0" w:firstRowLastColumn="0" w:lastRowFirstColumn="0" w:lastRowLastColumn="0"/>
            <w:tcW w:w="1129" w:type="dxa"/>
            <w:tcBorders>
              <w:top w:val="nil"/>
              <w:left w:val="nil"/>
              <w:bottom w:val="nil"/>
              <w:right w:val="single" w:sz="8" w:space="0" w:color="7F7F7F"/>
            </w:tcBorders>
            <w:shd w:val="clear" w:color="000000" w:fill="FFFFFF"/>
          </w:tcPr>
          <w:p w:rsidR="00FE5039" w:rsidRDefault="00FE5039" w:rsidP="00B03CC0">
            <w:pPr>
              <w:jc w:val="right"/>
              <w:rPr>
                <w:rFonts w:ascii="Century Gothic" w:hAnsi="Century Gothic" w:cs="Times New Roman"/>
                <w:b/>
                <w:bCs/>
                <w:color w:val="000000"/>
                <w:szCs w:val="20"/>
              </w:rPr>
            </w:pPr>
            <w:r>
              <w:rPr>
                <w:rFonts w:ascii="Century Gothic" w:hAnsi="Century Gothic"/>
                <w:b/>
                <w:bCs/>
                <w:i w:val="0"/>
                <w:iCs w:val="0"/>
                <w:color w:val="000000"/>
                <w:szCs w:val="20"/>
              </w:rPr>
              <w:t>Укупно</w:t>
            </w:r>
          </w:p>
        </w:tc>
        <w:tc>
          <w:tcPr>
            <w:tcW w:w="2152" w:type="dxa"/>
            <w:tcBorders>
              <w:top w:val="nil"/>
              <w:left w:val="nil"/>
              <w:bottom w:val="nil"/>
              <w:right w:val="nil"/>
            </w:tcBorders>
            <w:shd w:val="clear" w:color="000000" w:fill="F2F2F2"/>
          </w:tcPr>
          <w:p w:rsidR="00FE5039" w:rsidRPr="0043789C"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b/>
                <w:bCs/>
                <w:color w:val="000000"/>
                <w:szCs w:val="20"/>
              </w:rPr>
            </w:pPr>
            <w:r>
              <w:rPr>
                <w:rFonts w:ascii="Century Gothic" w:hAnsi="Century Gothic" w:cs="Arial"/>
                <w:b/>
                <w:bCs/>
                <w:color w:val="000000"/>
                <w:szCs w:val="20"/>
              </w:rPr>
              <w:t>662</w:t>
            </w:r>
          </w:p>
        </w:tc>
        <w:tc>
          <w:tcPr>
            <w:tcW w:w="2242" w:type="dxa"/>
            <w:tcBorders>
              <w:top w:val="nil"/>
              <w:left w:val="nil"/>
              <w:bottom w:val="nil"/>
              <w:right w:val="nil"/>
            </w:tcBorders>
            <w:shd w:val="clear" w:color="000000" w:fill="F2F2F2"/>
          </w:tcPr>
          <w:p w:rsidR="00FE5039" w:rsidRPr="005537D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b/>
                <w:bCs/>
                <w:color w:val="000000"/>
                <w:szCs w:val="20"/>
                <w:lang w:val="sr-Cyrl-RS"/>
              </w:rPr>
            </w:pPr>
            <w:r>
              <w:rPr>
                <w:rFonts w:ascii="Century Gothic" w:hAnsi="Century Gothic" w:cs="Arial"/>
                <w:b/>
                <w:bCs/>
                <w:color w:val="000000"/>
                <w:szCs w:val="20"/>
              </w:rPr>
              <w:t>99</w:t>
            </w:r>
            <w:r>
              <w:rPr>
                <w:rFonts w:ascii="Century Gothic" w:hAnsi="Century Gothic" w:cs="Arial"/>
                <w:b/>
                <w:bCs/>
                <w:color w:val="000000"/>
                <w:szCs w:val="20"/>
                <w:lang w:val="sr-Cyrl-RS"/>
              </w:rPr>
              <w:t>43</w:t>
            </w:r>
          </w:p>
        </w:tc>
        <w:tc>
          <w:tcPr>
            <w:tcW w:w="2240" w:type="dxa"/>
            <w:tcBorders>
              <w:top w:val="nil"/>
              <w:left w:val="nil"/>
              <w:bottom w:val="nil"/>
              <w:right w:val="nil"/>
            </w:tcBorders>
            <w:shd w:val="clear" w:color="000000" w:fill="F2F2F2"/>
          </w:tcPr>
          <w:p w:rsidR="00FE5039" w:rsidRPr="0043789C"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b/>
                <w:bCs/>
                <w:color w:val="000000"/>
                <w:szCs w:val="20"/>
              </w:rPr>
            </w:pPr>
            <w:r>
              <w:rPr>
                <w:rFonts w:ascii="Century Gothic" w:hAnsi="Century Gothic" w:cs="Arial"/>
                <w:b/>
                <w:bCs/>
                <w:color w:val="000000"/>
                <w:szCs w:val="20"/>
              </w:rPr>
              <w:t>47</w:t>
            </w:r>
          </w:p>
        </w:tc>
      </w:tr>
    </w:tbl>
    <w:p w:rsidR="00FE5039" w:rsidRDefault="00FE5039" w:rsidP="00B03CC0">
      <w:pPr>
        <w:spacing w:after="0" w:line="271" w:lineRule="auto"/>
        <w:ind w:right="108"/>
        <w:jc w:val="right"/>
      </w:pPr>
    </w:p>
    <w:p w:rsidR="00FE5039" w:rsidRDefault="00FE5039" w:rsidP="00BD1967">
      <w:pPr>
        <w:spacing w:after="0" w:line="271" w:lineRule="auto"/>
        <w:ind w:right="108"/>
      </w:pPr>
      <w:r w:rsidRPr="00E66A0C">
        <w:t xml:space="preserve">У </w:t>
      </w:r>
      <w:r>
        <w:t>посматраном десетогодишњем</w:t>
      </w:r>
      <w:r w:rsidRPr="004A76AC">
        <w:t xml:space="preserve"> периоду годишњи број регистрованих епидемија </w:t>
      </w:r>
      <w:r w:rsidRPr="004A76AC">
        <w:rPr>
          <w:lang w:val="sr-Cyrl-RS"/>
        </w:rPr>
        <w:t xml:space="preserve">се </w:t>
      </w:r>
      <w:r w:rsidRPr="004A76AC">
        <w:t xml:space="preserve">налази у распону од 34 (2017. године) до </w:t>
      </w:r>
      <w:r w:rsidRPr="004A76AC">
        <w:rPr>
          <w:lang w:val="sr-Cyrl-RS"/>
        </w:rPr>
        <w:t>97</w:t>
      </w:r>
      <w:r w:rsidRPr="004A76AC">
        <w:t xml:space="preserve"> (2008. године), а број оболелих у епидемијама од 717 (2015. године) до 1550 (2009. године). </w:t>
      </w:r>
      <w:r w:rsidR="00BD1967">
        <w:rPr>
          <w:lang w:val="sr-Cyrl-RS"/>
        </w:rPr>
        <w:t xml:space="preserve"> </w:t>
      </w:r>
      <w:r w:rsidRPr="00DD76B3">
        <w:t>Учешће оболелих у епидемијама континуирано представља само мали проценат укупног броја пријављених обол</w:t>
      </w:r>
      <w:r w:rsidRPr="00560FD2">
        <w:t xml:space="preserve">елих особа од заразних болести. </w:t>
      </w:r>
    </w:p>
    <w:p w:rsidR="00BD3FC2" w:rsidRDefault="00BD3FC2" w:rsidP="00B03CC0">
      <w:pPr>
        <w:spacing w:after="0"/>
      </w:pPr>
    </w:p>
    <w:p w:rsidR="00FE5039" w:rsidRPr="00341134" w:rsidRDefault="00BD3FC2" w:rsidP="00BD1967">
      <w:pPr>
        <w:spacing w:after="0"/>
      </w:pPr>
      <w:r>
        <w:t>Б</w:t>
      </w:r>
      <w:r w:rsidR="00FE5039">
        <w:t xml:space="preserve">рој и структура епидемија у појединим окрузима АП Војводине су врло различити </w:t>
      </w:r>
      <w:r w:rsidR="00073649">
        <w:t>(Прилог 1</w:t>
      </w:r>
      <w:r w:rsidR="00FE5039" w:rsidRPr="00657849">
        <w:t xml:space="preserve"> Врста и број епидемиј</w:t>
      </w:r>
      <w:r>
        <w:t>а на подручју АП Војводине у периоду 2008-2017. године</w:t>
      </w:r>
      <w:r w:rsidR="00BD1967">
        <w:t xml:space="preserve">). </w:t>
      </w:r>
      <w:r w:rsidR="00212B95">
        <w:rPr>
          <w:lang w:val="sr-Cyrl-RS"/>
        </w:rPr>
        <w:t xml:space="preserve"> </w:t>
      </w:r>
      <w:r w:rsidR="00BD1967">
        <w:rPr>
          <w:lang w:val="sr-Cyrl-RS"/>
        </w:rPr>
        <w:t xml:space="preserve"> </w:t>
      </w:r>
      <w:r w:rsidR="00FE5039" w:rsidRPr="00E66A0C">
        <w:t xml:space="preserve">У </w:t>
      </w:r>
      <w:r w:rsidR="00073649">
        <w:rPr>
          <w:lang w:val="sr-Cyrl-RS"/>
        </w:rPr>
        <w:t>протеклих 1</w:t>
      </w:r>
      <w:r>
        <w:rPr>
          <w:lang w:val="sr-Cyrl-RS"/>
        </w:rPr>
        <w:t xml:space="preserve">0 година су </w:t>
      </w:r>
      <w:r>
        <w:t xml:space="preserve">доминирале </w:t>
      </w:r>
      <w:r w:rsidR="00FE5039">
        <w:t xml:space="preserve"> епидемије мањих раз</w:t>
      </w:r>
      <w:r w:rsidR="00073649">
        <w:t>мера</w:t>
      </w:r>
      <w:r w:rsidR="00073649" w:rsidRPr="00073649">
        <w:t xml:space="preserve">, </w:t>
      </w:r>
      <w:r w:rsidR="00FE5039" w:rsidRPr="00073649">
        <w:t xml:space="preserve">најчешће међу члановима породица, а просечан број оболелих у епидемији је </w:t>
      </w:r>
      <w:r w:rsidR="00073649" w:rsidRPr="00073649">
        <w:rPr>
          <w:lang w:val="sr-Cyrl-RS"/>
        </w:rPr>
        <w:t>15</w:t>
      </w:r>
      <w:r w:rsidR="00FE5039" w:rsidRPr="00073649">
        <w:t xml:space="preserve"> особа.</w:t>
      </w:r>
      <w:r w:rsidR="00FE5039" w:rsidRPr="00322B4B">
        <w:t xml:space="preserve"> </w:t>
      </w:r>
      <w:r w:rsidR="00BD1967">
        <w:rPr>
          <w:lang w:val="sr-Cyrl-RS"/>
        </w:rPr>
        <w:t xml:space="preserve"> </w:t>
      </w:r>
      <w:r w:rsidR="00FE5039" w:rsidRPr="00560FD2">
        <w:t xml:space="preserve">Мада </w:t>
      </w:r>
      <w:r w:rsidR="00073649">
        <w:rPr>
          <w:lang w:val="sr-Cyrl-RS"/>
        </w:rPr>
        <w:t xml:space="preserve">здравствене установе и </w:t>
      </w:r>
      <w:r w:rsidR="00FE5039" w:rsidRPr="00560FD2">
        <w:t xml:space="preserve">установе социјалне заштите представљају епидемиолошки ризичне колективе због карактеристика </w:t>
      </w:r>
      <w:r w:rsidR="00073649">
        <w:rPr>
          <w:lang w:val="sr-Cyrl-RS"/>
        </w:rPr>
        <w:t xml:space="preserve">пацијената, </w:t>
      </w:r>
      <w:r w:rsidR="00FE5039" w:rsidRPr="00560FD2">
        <w:t xml:space="preserve">штићеника и услова смештаја, број пријављених епидемија, с обзиром на укупан број таквих установа у АП Војводини је мали. </w:t>
      </w:r>
    </w:p>
    <w:p w:rsidR="00FE5039" w:rsidRPr="009254FB" w:rsidRDefault="00FE5039" w:rsidP="00B03CC0">
      <w:pPr>
        <w:pStyle w:val="Heading2"/>
        <w:rPr>
          <w:rFonts w:ascii="Century Gothic" w:hAnsi="Century Gothic"/>
          <w:b/>
          <w:sz w:val="22"/>
          <w:szCs w:val="22"/>
          <w:lang w:eastAsia="sr-Latn-RS"/>
        </w:rPr>
      </w:pPr>
      <w:bookmarkStart w:id="19" w:name="_Toc389134522"/>
      <w:bookmarkStart w:id="20" w:name="_Toc515520359"/>
      <w:bookmarkStart w:id="21" w:name="_Toc515524201"/>
      <w:r w:rsidRPr="009254FB">
        <w:rPr>
          <w:rFonts w:ascii="Century Gothic" w:hAnsi="Century Gothic"/>
          <w:b/>
          <w:sz w:val="22"/>
          <w:szCs w:val="22"/>
          <w:lang w:eastAsia="sr-Latn-RS"/>
        </w:rPr>
        <w:t>Алиментарне епидемије</w:t>
      </w:r>
      <w:bookmarkEnd w:id="19"/>
      <w:bookmarkEnd w:id="20"/>
      <w:bookmarkEnd w:id="21"/>
      <w:r w:rsidRPr="009254FB">
        <w:rPr>
          <w:rFonts w:ascii="Century Gothic" w:hAnsi="Century Gothic"/>
          <w:b/>
          <w:sz w:val="22"/>
          <w:szCs w:val="22"/>
          <w:lang w:eastAsia="sr-Latn-RS"/>
        </w:rPr>
        <w:t xml:space="preserve"> </w:t>
      </w:r>
    </w:p>
    <w:p w:rsidR="00FE5039" w:rsidRPr="006B1E6C" w:rsidRDefault="00FE5039" w:rsidP="00B03CC0">
      <w:r>
        <w:t>У</w:t>
      </w:r>
      <w:r w:rsidR="00BD3FC2">
        <w:rPr>
          <w:lang w:val="sr-Cyrl-RS"/>
        </w:rPr>
        <w:t xml:space="preserve"> периоду од 2008-</w:t>
      </w:r>
      <w:r>
        <w:t xml:space="preserve"> 2017</w:t>
      </w:r>
      <w:r w:rsidRPr="006B1E6C">
        <w:t xml:space="preserve">. години у АП Војводини </w:t>
      </w:r>
      <w:r>
        <w:rPr>
          <w:lang w:val="sr-Cyrl-RS"/>
        </w:rPr>
        <w:t>је</w:t>
      </w:r>
      <w:r w:rsidRPr="006B1E6C">
        <w:t xml:space="preserve"> пријављен</w:t>
      </w:r>
      <w:r>
        <w:rPr>
          <w:lang w:val="sr-Cyrl-RS"/>
        </w:rPr>
        <w:t>о</w:t>
      </w:r>
      <w:r w:rsidR="00BD3FC2">
        <w:t xml:space="preserve"> 291</w:t>
      </w:r>
      <w:r w:rsidRPr="006B1E6C">
        <w:t xml:space="preserve"> алиментарн</w:t>
      </w:r>
      <w:r>
        <w:t>их епидемиј</w:t>
      </w:r>
      <w:r>
        <w:rPr>
          <w:lang w:val="sr-Cyrl-RS"/>
        </w:rPr>
        <w:t>а</w:t>
      </w:r>
      <w:r w:rsidR="00BD3FC2">
        <w:t xml:space="preserve"> у којима је обо</w:t>
      </w:r>
      <w:r w:rsidR="0086421B">
        <w:t>лело 2353 а умрле три особе</w:t>
      </w:r>
    </w:p>
    <w:p w:rsidR="00073649" w:rsidRDefault="00073649" w:rsidP="00B03CC0">
      <w:pPr>
        <w:pStyle w:val="Caption"/>
        <w:spacing w:after="160"/>
      </w:pPr>
    </w:p>
    <w:p w:rsidR="00212B95" w:rsidRDefault="00212B95" w:rsidP="00212B95"/>
    <w:p w:rsidR="00212B95" w:rsidRDefault="00212B95" w:rsidP="00212B95"/>
    <w:p w:rsidR="00212B95" w:rsidRDefault="00212B95" w:rsidP="00212B95"/>
    <w:p w:rsidR="00212B95" w:rsidRDefault="00212B95" w:rsidP="00212B95"/>
    <w:p w:rsidR="00212B95" w:rsidRDefault="00212B95" w:rsidP="00212B95"/>
    <w:p w:rsidR="00212B95" w:rsidRPr="00212B95" w:rsidRDefault="00212B95" w:rsidP="00212B95"/>
    <w:p w:rsidR="00FE5039" w:rsidRPr="009845B7" w:rsidRDefault="00073649" w:rsidP="00B03CC0">
      <w:pPr>
        <w:pStyle w:val="Caption"/>
        <w:spacing w:after="160"/>
      </w:pPr>
      <w:r>
        <w:lastRenderedPageBreak/>
        <w:t>Табела 7</w:t>
      </w:r>
      <w:r w:rsidR="00FE5039">
        <w:t>.</w:t>
      </w:r>
      <w:r w:rsidR="00FE5039" w:rsidRPr="009845B7">
        <w:t xml:space="preserve"> Алиментарне епидемије у АП Војводини у периоду од 200</w:t>
      </w:r>
      <w:r w:rsidR="00FE5039">
        <w:t>8</w:t>
      </w:r>
      <w:r w:rsidR="00FE5039" w:rsidRPr="009845B7">
        <w:t>. до 201</w:t>
      </w:r>
      <w:r w:rsidR="00FE5039">
        <w:t>7</w:t>
      </w:r>
      <w:r w:rsidR="00FE5039" w:rsidRPr="009845B7">
        <w:t xml:space="preserve">. године </w:t>
      </w:r>
    </w:p>
    <w:tbl>
      <w:tblPr>
        <w:tblStyle w:val="PlainTable51"/>
        <w:tblW w:w="0" w:type="auto"/>
        <w:jc w:val="center"/>
        <w:tblLook w:val="04A0" w:firstRow="1" w:lastRow="0" w:firstColumn="1" w:lastColumn="0" w:noHBand="0" w:noVBand="1"/>
      </w:tblPr>
      <w:tblGrid>
        <w:gridCol w:w="1056"/>
        <w:gridCol w:w="1508"/>
        <w:gridCol w:w="1842"/>
        <w:gridCol w:w="2311"/>
        <w:gridCol w:w="1233"/>
      </w:tblGrid>
      <w:tr w:rsidR="00FE5039" w:rsidTr="00B03CC0">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056" w:type="dxa"/>
          </w:tcPr>
          <w:p w:rsidR="00FE5039" w:rsidRPr="005E19B4" w:rsidRDefault="00FE5039" w:rsidP="00B03CC0">
            <w:pPr>
              <w:spacing w:after="160" w:line="259" w:lineRule="auto"/>
              <w:jc w:val="right"/>
              <w:rPr>
                <w:i w:val="0"/>
                <w:color w:val="FFFFFF"/>
                <w:sz w:val="18"/>
              </w:rPr>
            </w:pPr>
            <w:r w:rsidRPr="005E19B4">
              <w:rPr>
                <w:i w:val="0"/>
                <w:color w:val="FFFFFF"/>
                <w:sz w:val="18"/>
              </w:rPr>
              <w:t>Година</w:t>
            </w:r>
          </w:p>
        </w:tc>
        <w:tc>
          <w:tcPr>
            <w:tcW w:w="1508" w:type="dxa"/>
          </w:tcPr>
          <w:p w:rsidR="00FE5039" w:rsidRPr="005E19B4" w:rsidRDefault="00FE5039" w:rsidP="00B03CC0">
            <w:pPr>
              <w:spacing w:after="160" w:line="259" w:lineRule="auto"/>
              <w:jc w:val="center"/>
              <w:cnfStyle w:val="100000000000" w:firstRow="1" w:lastRow="0" w:firstColumn="0" w:lastColumn="0" w:oddVBand="0" w:evenVBand="0" w:oddHBand="0" w:evenHBand="0" w:firstRowFirstColumn="0" w:firstRowLastColumn="0" w:lastRowFirstColumn="0" w:lastRowLastColumn="0"/>
              <w:rPr>
                <w:i w:val="0"/>
                <w:color w:val="FFFFFF"/>
                <w:sz w:val="18"/>
              </w:rPr>
            </w:pPr>
            <w:r w:rsidRPr="005E19B4">
              <w:rPr>
                <w:i w:val="0"/>
                <w:color w:val="FFFFFF"/>
                <w:sz w:val="18"/>
              </w:rPr>
              <w:t>Број епидемија</w:t>
            </w:r>
          </w:p>
        </w:tc>
        <w:tc>
          <w:tcPr>
            <w:tcW w:w="1842" w:type="dxa"/>
          </w:tcPr>
          <w:p w:rsidR="00FE5039" w:rsidRPr="005E19B4" w:rsidRDefault="00FE5039" w:rsidP="00B03CC0">
            <w:pPr>
              <w:spacing w:after="160" w:line="259" w:lineRule="auto"/>
              <w:jc w:val="center"/>
              <w:cnfStyle w:val="100000000000" w:firstRow="1" w:lastRow="0" w:firstColumn="0" w:lastColumn="0" w:oddVBand="0" w:evenVBand="0" w:oddHBand="0" w:evenHBand="0" w:firstRowFirstColumn="0" w:firstRowLastColumn="0" w:lastRowFirstColumn="0" w:lastRowLastColumn="0"/>
              <w:rPr>
                <w:i w:val="0"/>
                <w:color w:val="FFFFFF"/>
                <w:sz w:val="18"/>
              </w:rPr>
            </w:pPr>
            <w:r w:rsidRPr="005E19B4">
              <w:rPr>
                <w:i w:val="0"/>
                <w:color w:val="FFFFFF"/>
                <w:sz w:val="18"/>
              </w:rPr>
              <w:t>Број оболелих</w:t>
            </w:r>
          </w:p>
        </w:tc>
        <w:tc>
          <w:tcPr>
            <w:tcW w:w="2311" w:type="dxa"/>
          </w:tcPr>
          <w:p w:rsidR="00FE5039" w:rsidRPr="005E19B4" w:rsidRDefault="00FE5039" w:rsidP="00B03CC0">
            <w:pPr>
              <w:spacing w:after="160" w:line="259" w:lineRule="auto"/>
              <w:jc w:val="center"/>
              <w:cnfStyle w:val="100000000000" w:firstRow="1" w:lastRow="0" w:firstColumn="0" w:lastColumn="0" w:oddVBand="0" w:evenVBand="0" w:oddHBand="0" w:evenHBand="0" w:firstRowFirstColumn="0" w:firstRowLastColumn="0" w:lastRowFirstColumn="0" w:lastRowLastColumn="0"/>
              <w:rPr>
                <w:i w:val="0"/>
                <w:color w:val="FFFFFF"/>
                <w:sz w:val="18"/>
              </w:rPr>
            </w:pPr>
            <w:r w:rsidRPr="005E19B4">
              <w:rPr>
                <w:i w:val="0"/>
                <w:color w:val="FFFFFF"/>
                <w:sz w:val="18"/>
              </w:rPr>
              <w:t>Број хоспитализованих</w:t>
            </w:r>
          </w:p>
        </w:tc>
        <w:tc>
          <w:tcPr>
            <w:tcW w:w="1233" w:type="dxa"/>
          </w:tcPr>
          <w:p w:rsidR="00FE5039" w:rsidRPr="005E19B4" w:rsidRDefault="00FE5039" w:rsidP="00B03CC0">
            <w:pPr>
              <w:spacing w:after="160" w:line="259" w:lineRule="auto"/>
              <w:jc w:val="center"/>
              <w:cnfStyle w:val="100000000000" w:firstRow="1" w:lastRow="0" w:firstColumn="0" w:lastColumn="0" w:oddVBand="0" w:evenVBand="0" w:oddHBand="0" w:evenHBand="0" w:firstRowFirstColumn="0" w:firstRowLastColumn="0" w:lastRowFirstColumn="0" w:lastRowLastColumn="0"/>
              <w:rPr>
                <w:i w:val="0"/>
                <w:color w:val="FFFFFF"/>
                <w:sz w:val="18"/>
              </w:rPr>
            </w:pPr>
            <w:r w:rsidRPr="005E19B4">
              <w:rPr>
                <w:i w:val="0"/>
                <w:color w:val="FFFFFF"/>
                <w:sz w:val="18"/>
              </w:rPr>
              <w:t>Број умрлих</w:t>
            </w:r>
          </w:p>
        </w:tc>
      </w:tr>
      <w:tr w:rsidR="00FE5039" w:rsidTr="00B03CC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56" w:type="dxa"/>
            <w:tcBorders>
              <w:top w:val="nil"/>
              <w:left w:val="nil"/>
              <w:bottom w:val="nil"/>
              <w:right w:val="single" w:sz="8" w:space="0" w:color="7F7F7F"/>
            </w:tcBorders>
            <w:shd w:val="clear" w:color="000000" w:fill="FFFFFF"/>
          </w:tcPr>
          <w:p w:rsidR="00FE5039" w:rsidRDefault="00FE5039" w:rsidP="00B03CC0">
            <w:pPr>
              <w:jc w:val="right"/>
              <w:rPr>
                <w:rFonts w:ascii="Century Gothic" w:hAnsi="Century Gothic"/>
                <w:color w:val="000000"/>
                <w:szCs w:val="20"/>
              </w:rPr>
            </w:pPr>
            <w:r>
              <w:rPr>
                <w:rFonts w:ascii="Century Gothic" w:hAnsi="Century Gothic"/>
                <w:i w:val="0"/>
                <w:iCs w:val="0"/>
                <w:color w:val="000000"/>
                <w:szCs w:val="20"/>
              </w:rPr>
              <w:t>2008</w:t>
            </w:r>
          </w:p>
        </w:tc>
        <w:tc>
          <w:tcPr>
            <w:tcW w:w="1508" w:type="dxa"/>
            <w:tcBorders>
              <w:top w:val="nil"/>
              <w:left w:val="nil"/>
              <w:bottom w:val="nil"/>
              <w:right w:val="nil"/>
            </w:tcBorders>
            <w:shd w:val="clear" w:color="auto" w:fill="auto"/>
          </w:tcPr>
          <w:p w:rsidR="00FE503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49</w:t>
            </w:r>
          </w:p>
        </w:tc>
        <w:tc>
          <w:tcPr>
            <w:tcW w:w="1842" w:type="dxa"/>
            <w:tcBorders>
              <w:top w:val="nil"/>
              <w:left w:val="nil"/>
              <w:bottom w:val="nil"/>
              <w:right w:val="nil"/>
            </w:tcBorders>
            <w:shd w:val="clear" w:color="auto" w:fill="auto"/>
          </w:tcPr>
          <w:p w:rsidR="00FE503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412</w:t>
            </w:r>
          </w:p>
        </w:tc>
        <w:tc>
          <w:tcPr>
            <w:tcW w:w="2311" w:type="dxa"/>
            <w:tcBorders>
              <w:top w:val="nil"/>
              <w:left w:val="nil"/>
              <w:bottom w:val="nil"/>
              <w:right w:val="nil"/>
            </w:tcBorders>
            <w:shd w:val="clear" w:color="auto" w:fill="auto"/>
          </w:tcPr>
          <w:p w:rsidR="00FE503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124</w:t>
            </w:r>
          </w:p>
        </w:tc>
        <w:tc>
          <w:tcPr>
            <w:tcW w:w="1233" w:type="dxa"/>
            <w:tcBorders>
              <w:top w:val="nil"/>
              <w:left w:val="nil"/>
              <w:bottom w:val="nil"/>
              <w:right w:val="nil"/>
            </w:tcBorders>
            <w:shd w:val="clear" w:color="auto" w:fill="auto"/>
          </w:tcPr>
          <w:p w:rsidR="00FE503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2</w:t>
            </w:r>
          </w:p>
        </w:tc>
      </w:tr>
      <w:tr w:rsidR="00FE5039" w:rsidTr="00B03CC0">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56" w:type="dxa"/>
            <w:tcBorders>
              <w:top w:val="nil"/>
              <w:left w:val="nil"/>
              <w:bottom w:val="nil"/>
              <w:right w:val="single" w:sz="8" w:space="0" w:color="7F7F7F"/>
            </w:tcBorders>
            <w:shd w:val="clear" w:color="000000" w:fill="FFFFFF"/>
          </w:tcPr>
          <w:p w:rsidR="00FE5039" w:rsidRDefault="00FE5039" w:rsidP="00B03CC0">
            <w:pPr>
              <w:jc w:val="right"/>
              <w:rPr>
                <w:rFonts w:ascii="Century Gothic" w:hAnsi="Century Gothic"/>
                <w:color w:val="000000"/>
                <w:szCs w:val="20"/>
              </w:rPr>
            </w:pPr>
            <w:r>
              <w:rPr>
                <w:rFonts w:ascii="Century Gothic" w:hAnsi="Century Gothic"/>
                <w:i w:val="0"/>
                <w:iCs w:val="0"/>
                <w:color w:val="000000"/>
                <w:szCs w:val="20"/>
              </w:rPr>
              <w:t>2009</w:t>
            </w:r>
          </w:p>
        </w:tc>
        <w:tc>
          <w:tcPr>
            <w:tcW w:w="1508" w:type="dxa"/>
            <w:tcBorders>
              <w:top w:val="nil"/>
              <w:left w:val="nil"/>
              <w:bottom w:val="nil"/>
              <w:right w:val="nil"/>
            </w:tcBorders>
            <w:shd w:val="clear" w:color="000000" w:fill="F2F2F2"/>
          </w:tcPr>
          <w:p w:rsidR="00FE5039"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31</w:t>
            </w:r>
          </w:p>
        </w:tc>
        <w:tc>
          <w:tcPr>
            <w:tcW w:w="1842" w:type="dxa"/>
            <w:tcBorders>
              <w:top w:val="nil"/>
              <w:left w:val="nil"/>
              <w:bottom w:val="nil"/>
              <w:right w:val="nil"/>
            </w:tcBorders>
            <w:shd w:val="clear" w:color="000000" w:fill="F2F2F2"/>
          </w:tcPr>
          <w:p w:rsidR="00FE5039"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190</w:t>
            </w:r>
          </w:p>
        </w:tc>
        <w:tc>
          <w:tcPr>
            <w:tcW w:w="2311" w:type="dxa"/>
            <w:tcBorders>
              <w:top w:val="nil"/>
              <w:left w:val="nil"/>
              <w:bottom w:val="nil"/>
              <w:right w:val="nil"/>
            </w:tcBorders>
            <w:shd w:val="clear" w:color="000000" w:fill="F2F2F2"/>
          </w:tcPr>
          <w:p w:rsidR="00FE5039"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107</w:t>
            </w:r>
          </w:p>
        </w:tc>
        <w:tc>
          <w:tcPr>
            <w:tcW w:w="1233" w:type="dxa"/>
            <w:tcBorders>
              <w:top w:val="nil"/>
              <w:left w:val="nil"/>
              <w:bottom w:val="nil"/>
              <w:right w:val="nil"/>
            </w:tcBorders>
            <w:shd w:val="clear" w:color="000000" w:fill="F2F2F2"/>
          </w:tcPr>
          <w:p w:rsidR="00FE5039"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0</w:t>
            </w:r>
          </w:p>
        </w:tc>
      </w:tr>
      <w:tr w:rsidR="00FE5039" w:rsidTr="00B03CC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56" w:type="dxa"/>
            <w:tcBorders>
              <w:top w:val="nil"/>
              <w:left w:val="nil"/>
              <w:bottom w:val="nil"/>
              <w:right w:val="single" w:sz="8" w:space="0" w:color="7F7F7F"/>
            </w:tcBorders>
            <w:shd w:val="clear" w:color="000000" w:fill="FFFFFF"/>
          </w:tcPr>
          <w:p w:rsidR="00FE5039" w:rsidRDefault="00FE5039" w:rsidP="00B03CC0">
            <w:pPr>
              <w:jc w:val="right"/>
              <w:rPr>
                <w:rFonts w:ascii="Century Gothic" w:hAnsi="Century Gothic"/>
                <w:color w:val="000000"/>
                <w:szCs w:val="20"/>
              </w:rPr>
            </w:pPr>
            <w:r>
              <w:rPr>
                <w:rFonts w:ascii="Century Gothic" w:hAnsi="Century Gothic"/>
                <w:i w:val="0"/>
                <w:iCs w:val="0"/>
                <w:color w:val="000000"/>
                <w:szCs w:val="20"/>
              </w:rPr>
              <w:t>2010</w:t>
            </w:r>
          </w:p>
        </w:tc>
        <w:tc>
          <w:tcPr>
            <w:tcW w:w="1508" w:type="dxa"/>
            <w:tcBorders>
              <w:top w:val="nil"/>
              <w:left w:val="nil"/>
              <w:bottom w:val="nil"/>
              <w:right w:val="nil"/>
            </w:tcBorders>
            <w:shd w:val="clear" w:color="auto" w:fill="auto"/>
          </w:tcPr>
          <w:p w:rsidR="00FE503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39</w:t>
            </w:r>
          </w:p>
        </w:tc>
        <w:tc>
          <w:tcPr>
            <w:tcW w:w="1842" w:type="dxa"/>
            <w:tcBorders>
              <w:top w:val="nil"/>
              <w:left w:val="nil"/>
              <w:bottom w:val="nil"/>
              <w:right w:val="nil"/>
            </w:tcBorders>
            <w:shd w:val="clear" w:color="auto" w:fill="auto"/>
          </w:tcPr>
          <w:p w:rsidR="00FE503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208</w:t>
            </w:r>
          </w:p>
        </w:tc>
        <w:tc>
          <w:tcPr>
            <w:tcW w:w="2311" w:type="dxa"/>
            <w:tcBorders>
              <w:top w:val="nil"/>
              <w:left w:val="nil"/>
              <w:bottom w:val="nil"/>
              <w:right w:val="nil"/>
            </w:tcBorders>
            <w:shd w:val="clear" w:color="auto" w:fill="auto"/>
          </w:tcPr>
          <w:p w:rsidR="00FE503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56</w:t>
            </w:r>
          </w:p>
        </w:tc>
        <w:tc>
          <w:tcPr>
            <w:tcW w:w="1233" w:type="dxa"/>
            <w:tcBorders>
              <w:top w:val="nil"/>
              <w:left w:val="nil"/>
              <w:bottom w:val="nil"/>
              <w:right w:val="nil"/>
            </w:tcBorders>
            <w:shd w:val="clear" w:color="auto" w:fill="auto"/>
          </w:tcPr>
          <w:p w:rsidR="00FE503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0</w:t>
            </w:r>
          </w:p>
        </w:tc>
      </w:tr>
      <w:tr w:rsidR="00FE5039" w:rsidTr="00B03CC0">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56" w:type="dxa"/>
            <w:tcBorders>
              <w:top w:val="nil"/>
              <w:left w:val="nil"/>
              <w:bottom w:val="nil"/>
              <w:right w:val="single" w:sz="8" w:space="0" w:color="7F7F7F"/>
            </w:tcBorders>
            <w:shd w:val="clear" w:color="000000" w:fill="FFFFFF"/>
          </w:tcPr>
          <w:p w:rsidR="00FE5039" w:rsidRDefault="00FE5039" w:rsidP="00B03CC0">
            <w:pPr>
              <w:jc w:val="right"/>
              <w:rPr>
                <w:rFonts w:ascii="Century Gothic" w:hAnsi="Century Gothic"/>
                <w:color w:val="000000"/>
                <w:szCs w:val="20"/>
              </w:rPr>
            </w:pPr>
            <w:r>
              <w:rPr>
                <w:rFonts w:ascii="Century Gothic" w:hAnsi="Century Gothic"/>
                <w:i w:val="0"/>
                <w:iCs w:val="0"/>
                <w:color w:val="000000"/>
                <w:szCs w:val="20"/>
              </w:rPr>
              <w:t>2011</w:t>
            </w:r>
          </w:p>
        </w:tc>
        <w:tc>
          <w:tcPr>
            <w:tcW w:w="1508" w:type="dxa"/>
            <w:tcBorders>
              <w:top w:val="nil"/>
              <w:left w:val="nil"/>
              <w:bottom w:val="nil"/>
              <w:right w:val="nil"/>
            </w:tcBorders>
            <w:shd w:val="clear" w:color="000000" w:fill="F2F2F2"/>
          </w:tcPr>
          <w:p w:rsidR="00FE5039"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29</w:t>
            </w:r>
          </w:p>
        </w:tc>
        <w:tc>
          <w:tcPr>
            <w:tcW w:w="1842" w:type="dxa"/>
            <w:tcBorders>
              <w:top w:val="nil"/>
              <w:left w:val="nil"/>
              <w:bottom w:val="nil"/>
              <w:right w:val="nil"/>
            </w:tcBorders>
            <w:shd w:val="clear" w:color="000000" w:fill="F2F2F2"/>
          </w:tcPr>
          <w:p w:rsidR="00FE5039"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428</w:t>
            </w:r>
          </w:p>
        </w:tc>
        <w:tc>
          <w:tcPr>
            <w:tcW w:w="2311" w:type="dxa"/>
            <w:tcBorders>
              <w:top w:val="nil"/>
              <w:left w:val="nil"/>
              <w:bottom w:val="nil"/>
              <w:right w:val="nil"/>
            </w:tcBorders>
            <w:shd w:val="clear" w:color="000000" w:fill="F2F2F2"/>
          </w:tcPr>
          <w:p w:rsidR="00FE5039"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47</w:t>
            </w:r>
          </w:p>
        </w:tc>
        <w:tc>
          <w:tcPr>
            <w:tcW w:w="1233" w:type="dxa"/>
            <w:tcBorders>
              <w:top w:val="nil"/>
              <w:left w:val="nil"/>
              <w:bottom w:val="nil"/>
              <w:right w:val="nil"/>
            </w:tcBorders>
            <w:shd w:val="clear" w:color="000000" w:fill="F2F2F2"/>
          </w:tcPr>
          <w:p w:rsidR="00FE5039"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0</w:t>
            </w:r>
          </w:p>
        </w:tc>
      </w:tr>
      <w:tr w:rsidR="00FE5039" w:rsidTr="00B03CC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56" w:type="dxa"/>
            <w:tcBorders>
              <w:top w:val="nil"/>
              <w:left w:val="nil"/>
              <w:bottom w:val="nil"/>
              <w:right w:val="single" w:sz="8" w:space="0" w:color="7F7F7F"/>
            </w:tcBorders>
            <w:shd w:val="clear" w:color="000000" w:fill="FFFFFF"/>
          </w:tcPr>
          <w:p w:rsidR="00FE5039" w:rsidRDefault="00FE5039" w:rsidP="00B03CC0">
            <w:pPr>
              <w:jc w:val="right"/>
              <w:rPr>
                <w:rFonts w:ascii="Century Gothic" w:hAnsi="Century Gothic"/>
                <w:color w:val="000000"/>
                <w:szCs w:val="20"/>
              </w:rPr>
            </w:pPr>
            <w:r>
              <w:rPr>
                <w:rFonts w:ascii="Century Gothic" w:hAnsi="Century Gothic"/>
                <w:i w:val="0"/>
                <w:iCs w:val="0"/>
                <w:color w:val="000000"/>
                <w:szCs w:val="20"/>
              </w:rPr>
              <w:t>2012</w:t>
            </w:r>
          </w:p>
        </w:tc>
        <w:tc>
          <w:tcPr>
            <w:tcW w:w="1508" w:type="dxa"/>
            <w:tcBorders>
              <w:top w:val="nil"/>
              <w:left w:val="nil"/>
              <w:bottom w:val="nil"/>
              <w:right w:val="nil"/>
            </w:tcBorders>
            <w:shd w:val="clear" w:color="auto" w:fill="auto"/>
          </w:tcPr>
          <w:p w:rsidR="00FE503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23</w:t>
            </w:r>
          </w:p>
        </w:tc>
        <w:tc>
          <w:tcPr>
            <w:tcW w:w="1842" w:type="dxa"/>
            <w:tcBorders>
              <w:top w:val="nil"/>
              <w:left w:val="nil"/>
              <w:bottom w:val="nil"/>
              <w:right w:val="nil"/>
            </w:tcBorders>
            <w:shd w:val="clear" w:color="auto" w:fill="auto"/>
          </w:tcPr>
          <w:p w:rsidR="00FE503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126</w:t>
            </w:r>
          </w:p>
        </w:tc>
        <w:tc>
          <w:tcPr>
            <w:tcW w:w="2311" w:type="dxa"/>
            <w:tcBorders>
              <w:top w:val="nil"/>
              <w:left w:val="nil"/>
              <w:bottom w:val="nil"/>
              <w:right w:val="nil"/>
            </w:tcBorders>
            <w:shd w:val="clear" w:color="auto" w:fill="auto"/>
          </w:tcPr>
          <w:p w:rsidR="00FE503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37</w:t>
            </w:r>
          </w:p>
        </w:tc>
        <w:tc>
          <w:tcPr>
            <w:tcW w:w="1233" w:type="dxa"/>
            <w:tcBorders>
              <w:top w:val="nil"/>
              <w:left w:val="nil"/>
              <w:bottom w:val="nil"/>
              <w:right w:val="nil"/>
            </w:tcBorders>
            <w:shd w:val="clear" w:color="auto" w:fill="auto"/>
          </w:tcPr>
          <w:p w:rsidR="00FE503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0</w:t>
            </w:r>
          </w:p>
        </w:tc>
      </w:tr>
      <w:tr w:rsidR="00FE5039" w:rsidTr="00B03CC0">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56" w:type="dxa"/>
            <w:tcBorders>
              <w:top w:val="nil"/>
              <w:left w:val="nil"/>
              <w:bottom w:val="nil"/>
              <w:right w:val="single" w:sz="8" w:space="0" w:color="7F7F7F"/>
            </w:tcBorders>
            <w:shd w:val="clear" w:color="000000" w:fill="FFFFFF"/>
          </w:tcPr>
          <w:p w:rsidR="00FE5039" w:rsidRDefault="00FE5039" w:rsidP="00B03CC0">
            <w:pPr>
              <w:jc w:val="right"/>
              <w:rPr>
                <w:rFonts w:ascii="Century Gothic" w:hAnsi="Century Gothic"/>
                <w:color w:val="000000"/>
                <w:szCs w:val="20"/>
              </w:rPr>
            </w:pPr>
            <w:r>
              <w:rPr>
                <w:rFonts w:ascii="Century Gothic" w:hAnsi="Century Gothic"/>
                <w:i w:val="0"/>
                <w:iCs w:val="0"/>
                <w:color w:val="000000"/>
                <w:szCs w:val="20"/>
              </w:rPr>
              <w:t>2013</w:t>
            </w:r>
          </w:p>
        </w:tc>
        <w:tc>
          <w:tcPr>
            <w:tcW w:w="1508" w:type="dxa"/>
            <w:tcBorders>
              <w:top w:val="nil"/>
              <w:left w:val="nil"/>
              <w:bottom w:val="nil"/>
              <w:right w:val="nil"/>
            </w:tcBorders>
            <w:shd w:val="clear" w:color="000000" w:fill="F2F2F2"/>
          </w:tcPr>
          <w:p w:rsidR="00FE5039"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33</w:t>
            </w:r>
          </w:p>
        </w:tc>
        <w:tc>
          <w:tcPr>
            <w:tcW w:w="1842" w:type="dxa"/>
            <w:tcBorders>
              <w:top w:val="nil"/>
              <w:left w:val="nil"/>
              <w:bottom w:val="nil"/>
              <w:right w:val="nil"/>
            </w:tcBorders>
            <w:shd w:val="clear" w:color="000000" w:fill="F2F2F2"/>
          </w:tcPr>
          <w:p w:rsidR="00FE5039"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202</w:t>
            </w:r>
          </w:p>
        </w:tc>
        <w:tc>
          <w:tcPr>
            <w:tcW w:w="2311" w:type="dxa"/>
            <w:tcBorders>
              <w:top w:val="nil"/>
              <w:left w:val="nil"/>
              <w:bottom w:val="nil"/>
              <w:right w:val="nil"/>
            </w:tcBorders>
            <w:shd w:val="clear" w:color="000000" w:fill="F2F2F2"/>
          </w:tcPr>
          <w:p w:rsidR="00FE5039"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80</w:t>
            </w:r>
          </w:p>
        </w:tc>
        <w:tc>
          <w:tcPr>
            <w:tcW w:w="1233" w:type="dxa"/>
            <w:tcBorders>
              <w:top w:val="nil"/>
              <w:left w:val="nil"/>
              <w:bottom w:val="nil"/>
              <w:right w:val="nil"/>
            </w:tcBorders>
            <w:shd w:val="clear" w:color="000000" w:fill="F2F2F2"/>
          </w:tcPr>
          <w:p w:rsidR="00FE5039"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0</w:t>
            </w:r>
          </w:p>
        </w:tc>
      </w:tr>
      <w:tr w:rsidR="00FE5039" w:rsidTr="00B03CC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56" w:type="dxa"/>
            <w:tcBorders>
              <w:top w:val="nil"/>
              <w:left w:val="nil"/>
              <w:bottom w:val="nil"/>
              <w:right w:val="single" w:sz="8" w:space="0" w:color="7F7F7F"/>
            </w:tcBorders>
            <w:shd w:val="clear" w:color="000000" w:fill="FFFFFF"/>
          </w:tcPr>
          <w:p w:rsidR="00FE5039" w:rsidRDefault="00FE5039" w:rsidP="00B03CC0">
            <w:pPr>
              <w:jc w:val="right"/>
              <w:rPr>
                <w:rFonts w:ascii="Century Gothic" w:hAnsi="Century Gothic"/>
                <w:color w:val="000000"/>
                <w:szCs w:val="20"/>
              </w:rPr>
            </w:pPr>
            <w:r>
              <w:rPr>
                <w:rFonts w:ascii="Century Gothic" w:hAnsi="Century Gothic"/>
                <w:i w:val="0"/>
                <w:iCs w:val="0"/>
                <w:color w:val="000000"/>
                <w:szCs w:val="20"/>
              </w:rPr>
              <w:t>2014</w:t>
            </w:r>
          </w:p>
        </w:tc>
        <w:tc>
          <w:tcPr>
            <w:tcW w:w="1508" w:type="dxa"/>
            <w:tcBorders>
              <w:top w:val="nil"/>
              <w:left w:val="nil"/>
              <w:bottom w:val="nil"/>
              <w:right w:val="nil"/>
            </w:tcBorders>
            <w:shd w:val="clear" w:color="auto" w:fill="auto"/>
          </w:tcPr>
          <w:p w:rsidR="00FE503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23</w:t>
            </w:r>
          </w:p>
        </w:tc>
        <w:tc>
          <w:tcPr>
            <w:tcW w:w="1842" w:type="dxa"/>
            <w:tcBorders>
              <w:top w:val="nil"/>
              <w:left w:val="nil"/>
              <w:bottom w:val="nil"/>
              <w:right w:val="nil"/>
            </w:tcBorders>
            <w:shd w:val="clear" w:color="auto" w:fill="auto"/>
          </w:tcPr>
          <w:p w:rsidR="00FE503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249</w:t>
            </w:r>
          </w:p>
        </w:tc>
        <w:tc>
          <w:tcPr>
            <w:tcW w:w="2311" w:type="dxa"/>
            <w:tcBorders>
              <w:top w:val="nil"/>
              <w:left w:val="nil"/>
              <w:bottom w:val="nil"/>
              <w:right w:val="nil"/>
            </w:tcBorders>
            <w:shd w:val="clear" w:color="auto" w:fill="auto"/>
          </w:tcPr>
          <w:p w:rsidR="00FE503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67</w:t>
            </w:r>
          </w:p>
        </w:tc>
        <w:tc>
          <w:tcPr>
            <w:tcW w:w="1233" w:type="dxa"/>
            <w:tcBorders>
              <w:top w:val="nil"/>
              <w:left w:val="nil"/>
              <w:bottom w:val="nil"/>
              <w:right w:val="nil"/>
            </w:tcBorders>
            <w:shd w:val="clear" w:color="auto" w:fill="auto"/>
          </w:tcPr>
          <w:p w:rsidR="00FE503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1</w:t>
            </w:r>
          </w:p>
        </w:tc>
      </w:tr>
      <w:tr w:rsidR="00FE5039" w:rsidTr="00B03CC0">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56" w:type="dxa"/>
            <w:tcBorders>
              <w:top w:val="nil"/>
              <w:left w:val="nil"/>
              <w:bottom w:val="nil"/>
              <w:right w:val="single" w:sz="8" w:space="0" w:color="7F7F7F"/>
            </w:tcBorders>
            <w:shd w:val="clear" w:color="000000" w:fill="FFFFFF"/>
          </w:tcPr>
          <w:p w:rsidR="00FE5039" w:rsidRDefault="00FE5039" w:rsidP="00B03CC0">
            <w:pPr>
              <w:jc w:val="right"/>
              <w:rPr>
                <w:rFonts w:ascii="Century Gothic" w:hAnsi="Century Gothic"/>
                <w:color w:val="000000"/>
                <w:szCs w:val="20"/>
              </w:rPr>
            </w:pPr>
            <w:r>
              <w:rPr>
                <w:rFonts w:ascii="Century Gothic" w:hAnsi="Century Gothic"/>
                <w:i w:val="0"/>
                <w:iCs w:val="0"/>
                <w:color w:val="000000"/>
                <w:szCs w:val="20"/>
              </w:rPr>
              <w:t>2015</w:t>
            </w:r>
          </w:p>
        </w:tc>
        <w:tc>
          <w:tcPr>
            <w:tcW w:w="1508" w:type="dxa"/>
            <w:tcBorders>
              <w:top w:val="nil"/>
              <w:left w:val="nil"/>
              <w:bottom w:val="nil"/>
              <w:right w:val="nil"/>
            </w:tcBorders>
            <w:shd w:val="clear" w:color="000000" w:fill="F2F2F2"/>
          </w:tcPr>
          <w:p w:rsidR="00FE5039"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29</w:t>
            </w:r>
          </w:p>
        </w:tc>
        <w:tc>
          <w:tcPr>
            <w:tcW w:w="1842" w:type="dxa"/>
            <w:tcBorders>
              <w:top w:val="nil"/>
              <w:left w:val="nil"/>
              <w:bottom w:val="nil"/>
              <w:right w:val="nil"/>
            </w:tcBorders>
            <w:shd w:val="clear" w:color="000000" w:fill="F2F2F2"/>
          </w:tcPr>
          <w:p w:rsidR="00FE5039"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187</w:t>
            </w:r>
          </w:p>
        </w:tc>
        <w:tc>
          <w:tcPr>
            <w:tcW w:w="2311" w:type="dxa"/>
            <w:tcBorders>
              <w:top w:val="nil"/>
              <w:left w:val="nil"/>
              <w:bottom w:val="nil"/>
              <w:right w:val="nil"/>
            </w:tcBorders>
            <w:shd w:val="clear" w:color="000000" w:fill="F2F2F2"/>
          </w:tcPr>
          <w:p w:rsidR="00FE5039"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45</w:t>
            </w:r>
          </w:p>
        </w:tc>
        <w:tc>
          <w:tcPr>
            <w:tcW w:w="1233" w:type="dxa"/>
            <w:tcBorders>
              <w:top w:val="nil"/>
              <w:left w:val="nil"/>
              <w:bottom w:val="nil"/>
              <w:right w:val="nil"/>
            </w:tcBorders>
            <w:shd w:val="clear" w:color="000000" w:fill="F2F2F2"/>
          </w:tcPr>
          <w:p w:rsidR="00FE5039"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0</w:t>
            </w:r>
          </w:p>
        </w:tc>
      </w:tr>
      <w:tr w:rsidR="00FE5039" w:rsidTr="00B03CC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56" w:type="dxa"/>
            <w:tcBorders>
              <w:top w:val="nil"/>
              <w:left w:val="nil"/>
              <w:bottom w:val="nil"/>
              <w:right w:val="single" w:sz="8" w:space="0" w:color="7F7F7F"/>
            </w:tcBorders>
            <w:shd w:val="clear" w:color="000000" w:fill="FFFFFF"/>
          </w:tcPr>
          <w:p w:rsidR="00FE5039" w:rsidRDefault="00FE5039" w:rsidP="00B03CC0">
            <w:pPr>
              <w:jc w:val="right"/>
              <w:rPr>
                <w:rFonts w:ascii="Century Gothic" w:hAnsi="Century Gothic"/>
                <w:color w:val="000000"/>
                <w:szCs w:val="20"/>
              </w:rPr>
            </w:pPr>
            <w:r>
              <w:rPr>
                <w:rFonts w:ascii="Century Gothic" w:hAnsi="Century Gothic"/>
                <w:i w:val="0"/>
                <w:iCs w:val="0"/>
                <w:color w:val="000000"/>
                <w:szCs w:val="20"/>
              </w:rPr>
              <w:t>2016</w:t>
            </w:r>
          </w:p>
        </w:tc>
        <w:tc>
          <w:tcPr>
            <w:tcW w:w="1508" w:type="dxa"/>
            <w:tcBorders>
              <w:top w:val="nil"/>
              <w:left w:val="nil"/>
              <w:bottom w:val="nil"/>
              <w:right w:val="nil"/>
            </w:tcBorders>
            <w:shd w:val="clear" w:color="auto" w:fill="auto"/>
          </w:tcPr>
          <w:p w:rsidR="00FE503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22</w:t>
            </w:r>
          </w:p>
        </w:tc>
        <w:tc>
          <w:tcPr>
            <w:tcW w:w="1842" w:type="dxa"/>
            <w:tcBorders>
              <w:top w:val="nil"/>
              <w:left w:val="nil"/>
              <w:bottom w:val="nil"/>
              <w:right w:val="nil"/>
            </w:tcBorders>
            <w:shd w:val="clear" w:color="auto" w:fill="auto"/>
          </w:tcPr>
          <w:p w:rsidR="00FE503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244</w:t>
            </w:r>
          </w:p>
        </w:tc>
        <w:tc>
          <w:tcPr>
            <w:tcW w:w="2311" w:type="dxa"/>
            <w:tcBorders>
              <w:top w:val="nil"/>
              <w:left w:val="nil"/>
              <w:bottom w:val="nil"/>
              <w:right w:val="nil"/>
            </w:tcBorders>
            <w:shd w:val="clear" w:color="auto" w:fill="auto"/>
          </w:tcPr>
          <w:p w:rsidR="00FE503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61</w:t>
            </w:r>
          </w:p>
        </w:tc>
        <w:tc>
          <w:tcPr>
            <w:tcW w:w="1233" w:type="dxa"/>
            <w:tcBorders>
              <w:top w:val="nil"/>
              <w:left w:val="nil"/>
              <w:bottom w:val="nil"/>
              <w:right w:val="nil"/>
            </w:tcBorders>
            <w:shd w:val="clear" w:color="auto" w:fill="auto"/>
          </w:tcPr>
          <w:p w:rsidR="00FE503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0</w:t>
            </w:r>
          </w:p>
        </w:tc>
      </w:tr>
      <w:tr w:rsidR="00FE5039" w:rsidTr="00B03CC0">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56" w:type="dxa"/>
            <w:tcBorders>
              <w:top w:val="nil"/>
              <w:left w:val="nil"/>
              <w:bottom w:val="nil"/>
              <w:right w:val="single" w:sz="8" w:space="0" w:color="7F7F7F"/>
            </w:tcBorders>
            <w:shd w:val="clear" w:color="000000" w:fill="FFFFFF"/>
          </w:tcPr>
          <w:p w:rsidR="00FE5039" w:rsidRPr="00AD391B" w:rsidRDefault="00FE5039" w:rsidP="00B03CC0">
            <w:pPr>
              <w:jc w:val="right"/>
              <w:rPr>
                <w:rFonts w:ascii="Century Gothic" w:hAnsi="Century Gothic"/>
                <w:color w:val="000000"/>
                <w:szCs w:val="20"/>
                <w:lang w:val="sr-Cyrl-RS"/>
              </w:rPr>
            </w:pPr>
            <w:r>
              <w:rPr>
                <w:rFonts w:ascii="Century Gothic" w:hAnsi="Century Gothic"/>
                <w:color w:val="000000"/>
                <w:szCs w:val="20"/>
                <w:lang w:val="sr-Cyrl-RS"/>
              </w:rPr>
              <w:t>2017</w:t>
            </w:r>
          </w:p>
        </w:tc>
        <w:tc>
          <w:tcPr>
            <w:tcW w:w="1508" w:type="dxa"/>
            <w:tcBorders>
              <w:top w:val="nil"/>
              <w:left w:val="nil"/>
              <w:bottom w:val="nil"/>
              <w:right w:val="nil"/>
            </w:tcBorders>
            <w:shd w:val="clear" w:color="auto" w:fill="auto"/>
          </w:tcPr>
          <w:p w:rsidR="00FE5039" w:rsidRPr="00E922E9"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lang w:val="sr-Cyrl-RS"/>
              </w:rPr>
            </w:pPr>
            <w:r>
              <w:rPr>
                <w:rFonts w:ascii="Century Gothic" w:hAnsi="Century Gothic"/>
                <w:color w:val="000000"/>
                <w:szCs w:val="20"/>
                <w:lang w:val="sr-Cyrl-RS"/>
              </w:rPr>
              <w:t>13</w:t>
            </w:r>
          </w:p>
        </w:tc>
        <w:tc>
          <w:tcPr>
            <w:tcW w:w="1842" w:type="dxa"/>
            <w:tcBorders>
              <w:top w:val="nil"/>
              <w:left w:val="nil"/>
              <w:bottom w:val="nil"/>
              <w:right w:val="nil"/>
            </w:tcBorders>
            <w:shd w:val="clear" w:color="auto" w:fill="auto"/>
          </w:tcPr>
          <w:p w:rsidR="00FE5039" w:rsidRPr="00E922E9"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lang w:val="sr-Cyrl-RS"/>
              </w:rPr>
            </w:pPr>
            <w:r>
              <w:rPr>
                <w:rFonts w:ascii="Century Gothic" w:hAnsi="Century Gothic"/>
                <w:color w:val="000000"/>
                <w:szCs w:val="20"/>
                <w:lang w:val="sr-Cyrl-RS"/>
              </w:rPr>
              <w:t>107</w:t>
            </w:r>
          </w:p>
        </w:tc>
        <w:tc>
          <w:tcPr>
            <w:tcW w:w="2311" w:type="dxa"/>
            <w:tcBorders>
              <w:top w:val="nil"/>
              <w:left w:val="nil"/>
              <w:bottom w:val="nil"/>
              <w:right w:val="nil"/>
            </w:tcBorders>
            <w:shd w:val="clear" w:color="auto" w:fill="auto"/>
          </w:tcPr>
          <w:p w:rsidR="00FE5039" w:rsidRPr="00E922E9"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lang w:val="sr-Cyrl-RS"/>
              </w:rPr>
            </w:pPr>
            <w:r>
              <w:rPr>
                <w:rFonts w:ascii="Century Gothic" w:hAnsi="Century Gothic"/>
                <w:color w:val="000000"/>
                <w:szCs w:val="20"/>
                <w:lang w:val="sr-Cyrl-RS"/>
              </w:rPr>
              <w:t>22</w:t>
            </w:r>
          </w:p>
        </w:tc>
        <w:tc>
          <w:tcPr>
            <w:tcW w:w="1233" w:type="dxa"/>
            <w:tcBorders>
              <w:top w:val="nil"/>
              <w:left w:val="nil"/>
              <w:bottom w:val="nil"/>
              <w:right w:val="nil"/>
            </w:tcBorders>
            <w:shd w:val="clear" w:color="auto" w:fill="auto"/>
          </w:tcPr>
          <w:p w:rsidR="00FE5039" w:rsidRPr="00E922E9" w:rsidRDefault="00FE5039" w:rsidP="00B03CC0">
            <w:pPr>
              <w:jc w:val="center"/>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lang w:val="sr-Cyrl-RS"/>
              </w:rPr>
            </w:pPr>
            <w:r>
              <w:rPr>
                <w:rFonts w:ascii="Century Gothic" w:hAnsi="Century Gothic"/>
                <w:color w:val="000000"/>
                <w:szCs w:val="20"/>
                <w:lang w:val="sr-Cyrl-RS"/>
              </w:rPr>
              <w:t>0</w:t>
            </w:r>
          </w:p>
        </w:tc>
      </w:tr>
      <w:tr w:rsidR="00FE5039" w:rsidTr="00B03CC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56" w:type="dxa"/>
            <w:tcBorders>
              <w:top w:val="nil"/>
              <w:left w:val="nil"/>
              <w:bottom w:val="nil"/>
              <w:right w:val="single" w:sz="8" w:space="0" w:color="7F7F7F"/>
            </w:tcBorders>
            <w:shd w:val="clear" w:color="000000" w:fill="FFFFFF"/>
          </w:tcPr>
          <w:p w:rsidR="00FE5039" w:rsidRDefault="00FE5039" w:rsidP="00B03CC0">
            <w:pPr>
              <w:jc w:val="right"/>
              <w:rPr>
                <w:rFonts w:ascii="Century Gothic" w:hAnsi="Century Gothic"/>
                <w:b/>
                <w:bCs/>
                <w:color w:val="000000"/>
                <w:szCs w:val="20"/>
              </w:rPr>
            </w:pPr>
            <w:r>
              <w:rPr>
                <w:rFonts w:ascii="Century Gothic" w:hAnsi="Century Gothic"/>
                <w:b/>
                <w:bCs/>
                <w:i w:val="0"/>
                <w:iCs w:val="0"/>
                <w:color w:val="000000"/>
                <w:szCs w:val="20"/>
              </w:rPr>
              <w:t>Укупно</w:t>
            </w:r>
          </w:p>
        </w:tc>
        <w:tc>
          <w:tcPr>
            <w:tcW w:w="1508" w:type="dxa"/>
            <w:tcBorders>
              <w:top w:val="nil"/>
              <w:left w:val="nil"/>
              <w:bottom w:val="nil"/>
              <w:right w:val="nil"/>
            </w:tcBorders>
            <w:shd w:val="clear" w:color="000000" w:fill="F2F2F2"/>
          </w:tcPr>
          <w:p w:rsidR="00FE5039" w:rsidRPr="00E922E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lang w:val="sr-Cyrl-RS"/>
              </w:rPr>
            </w:pPr>
            <w:r>
              <w:rPr>
                <w:rFonts w:ascii="Century Gothic" w:hAnsi="Century Gothic"/>
                <w:color w:val="000000"/>
                <w:szCs w:val="20"/>
                <w:lang w:val="sr-Cyrl-RS"/>
              </w:rPr>
              <w:t>291</w:t>
            </w:r>
          </w:p>
        </w:tc>
        <w:tc>
          <w:tcPr>
            <w:tcW w:w="1842" w:type="dxa"/>
            <w:tcBorders>
              <w:top w:val="nil"/>
              <w:left w:val="nil"/>
              <w:bottom w:val="nil"/>
              <w:right w:val="nil"/>
            </w:tcBorders>
            <w:shd w:val="clear" w:color="000000" w:fill="F2F2F2"/>
          </w:tcPr>
          <w:p w:rsidR="00FE5039" w:rsidRPr="00E922E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lang w:val="sr-Cyrl-RS"/>
              </w:rPr>
            </w:pPr>
            <w:r>
              <w:rPr>
                <w:rFonts w:ascii="Century Gothic" w:hAnsi="Century Gothic"/>
                <w:color w:val="000000"/>
                <w:szCs w:val="20"/>
                <w:lang w:val="sr-Cyrl-RS"/>
              </w:rPr>
              <w:t>2353</w:t>
            </w:r>
          </w:p>
        </w:tc>
        <w:tc>
          <w:tcPr>
            <w:tcW w:w="2311" w:type="dxa"/>
            <w:tcBorders>
              <w:top w:val="nil"/>
              <w:left w:val="nil"/>
              <w:bottom w:val="nil"/>
              <w:right w:val="nil"/>
            </w:tcBorders>
            <w:shd w:val="clear" w:color="000000" w:fill="F2F2F2"/>
          </w:tcPr>
          <w:p w:rsidR="00FE5039" w:rsidRPr="00E922E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lang w:val="sr-Cyrl-RS"/>
              </w:rPr>
            </w:pPr>
            <w:r>
              <w:rPr>
                <w:rFonts w:ascii="Century Gothic" w:hAnsi="Century Gothic"/>
                <w:color w:val="000000"/>
                <w:szCs w:val="20"/>
                <w:lang w:val="sr-Cyrl-RS"/>
              </w:rPr>
              <w:t>646</w:t>
            </w:r>
          </w:p>
        </w:tc>
        <w:tc>
          <w:tcPr>
            <w:tcW w:w="1233" w:type="dxa"/>
            <w:tcBorders>
              <w:top w:val="nil"/>
              <w:left w:val="nil"/>
              <w:bottom w:val="nil"/>
              <w:right w:val="nil"/>
            </w:tcBorders>
            <w:shd w:val="clear" w:color="000000" w:fill="F2F2F2"/>
          </w:tcPr>
          <w:p w:rsidR="00FE5039" w:rsidRPr="00E922E9" w:rsidRDefault="00FE5039" w:rsidP="00B03CC0">
            <w:pPr>
              <w:jc w:val="center"/>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lang w:val="sr-Cyrl-RS"/>
              </w:rPr>
            </w:pPr>
            <w:r>
              <w:rPr>
                <w:rFonts w:ascii="Century Gothic" w:hAnsi="Century Gothic"/>
                <w:color w:val="000000"/>
                <w:szCs w:val="20"/>
                <w:lang w:val="sr-Cyrl-RS"/>
              </w:rPr>
              <w:t>3</w:t>
            </w:r>
          </w:p>
        </w:tc>
      </w:tr>
    </w:tbl>
    <w:p w:rsidR="00FE5039" w:rsidRDefault="00FE5039" w:rsidP="003E3916"/>
    <w:p w:rsidR="00FE5039" w:rsidRPr="00E630DF" w:rsidRDefault="00212B95" w:rsidP="003E3916">
      <w:r>
        <w:t>Током целог анализираног периода, н</w:t>
      </w:r>
      <w:r w:rsidR="00FE5039" w:rsidRPr="001D2D81">
        <w:t>ајвећи број алиментарних епидемија је последица конзумирања намирница које су припремљене у породици за сопствене потребе (</w:t>
      </w:r>
      <w:r w:rsidR="00FE5039">
        <w:t>69</w:t>
      </w:r>
      <w:r w:rsidR="00FE5039" w:rsidRPr="001D2D81">
        <w:t>,</w:t>
      </w:r>
      <w:r w:rsidR="00FE5039">
        <w:t>2</w:t>
      </w:r>
      <w:r w:rsidR="00FE5039" w:rsidRPr="001D2D81">
        <w:t xml:space="preserve">%), (табела </w:t>
      </w:r>
      <w:r w:rsidR="00073649">
        <w:t>8</w:t>
      </w:r>
      <w:r w:rsidR="00FE5039" w:rsidRPr="001D2D81">
        <w:t>).</w:t>
      </w:r>
      <w:r w:rsidR="00FE5039">
        <w:t xml:space="preserve"> </w:t>
      </w:r>
    </w:p>
    <w:p w:rsidR="00FE5039" w:rsidRPr="00E630DF" w:rsidRDefault="00073649" w:rsidP="00B03CC0">
      <w:pPr>
        <w:pStyle w:val="Caption"/>
        <w:spacing w:after="160"/>
      </w:pPr>
      <w:r>
        <w:t>Табела 8</w:t>
      </w:r>
      <w:r w:rsidR="00FE5039">
        <w:t>.</w:t>
      </w:r>
      <w:r w:rsidR="00FE5039" w:rsidRPr="00E630DF">
        <w:t xml:space="preserve"> Алиментарне епидемије у АП Војводини према </w:t>
      </w:r>
      <w:r w:rsidR="00FE5039">
        <w:t>пореклу контаминиране намирнице</w:t>
      </w:r>
      <w:r w:rsidR="00FE5039" w:rsidRPr="00E630DF">
        <w:t xml:space="preserve"> у периоду </w:t>
      </w:r>
      <w:r w:rsidR="00FE5039">
        <w:t>од 2008. до 2017. године</w:t>
      </w:r>
    </w:p>
    <w:tbl>
      <w:tblPr>
        <w:tblStyle w:val="PlainTable51"/>
        <w:tblW w:w="10320" w:type="dxa"/>
        <w:jc w:val="center"/>
        <w:tblLook w:val="04A0" w:firstRow="1" w:lastRow="0" w:firstColumn="1" w:lastColumn="0" w:noHBand="0" w:noVBand="1"/>
      </w:tblPr>
      <w:tblGrid>
        <w:gridCol w:w="2234"/>
        <w:gridCol w:w="709"/>
        <w:gridCol w:w="708"/>
        <w:gridCol w:w="708"/>
        <w:gridCol w:w="721"/>
        <w:gridCol w:w="707"/>
        <w:gridCol w:w="709"/>
        <w:gridCol w:w="708"/>
        <w:gridCol w:w="708"/>
        <w:gridCol w:w="709"/>
        <w:gridCol w:w="708"/>
        <w:gridCol w:w="991"/>
      </w:tblGrid>
      <w:tr w:rsidR="00FE5039" w:rsidRPr="003E3916" w:rsidTr="00B03CC0">
        <w:trPr>
          <w:cnfStyle w:val="100000000000" w:firstRow="1" w:lastRow="0" w:firstColumn="0" w:lastColumn="0" w:oddVBand="0" w:evenVBand="0" w:oddHBand="0" w:evenHBand="0" w:firstRowFirstColumn="0" w:firstRowLastColumn="0" w:lastRowFirstColumn="0" w:lastRowLastColumn="0"/>
          <w:trHeight w:val="273"/>
          <w:jc w:val="center"/>
        </w:trPr>
        <w:tc>
          <w:tcPr>
            <w:cnfStyle w:val="001000000100" w:firstRow="0" w:lastRow="0" w:firstColumn="1" w:lastColumn="0" w:oddVBand="0" w:evenVBand="0" w:oddHBand="0" w:evenHBand="0" w:firstRowFirstColumn="1" w:firstRowLastColumn="0" w:lastRowFirstColumn="0" w:lastRowLastColumn="0"/>
            <w:tcW w:w="2234" w:type="dxa"/>
            <w:vMerge w:val="restart"/>
          </w:tcPr>
          <w:p w:rsidR="00FE5039" w:rsidRPr="003E3916" w:rsidRDefault="00FE5039" w:rsidP="00B03CC0">
            <w:pPr>
              <w:spacing w:line="259" w:lineRule="auto"/>
              <w:jc w:val="center"/>
              <w:rPr>
                <w:i w:val="0"/>
                <w:sz w:val="18"/>
              </w:rPr>
            </w:pPr>
            <w:r>
              <w:rPr>
                <w:i w:val="0"/>
                <w:color w:val="FFFFFF"/>
                <w:sz w:val="18"/>
              </w:rPr>
              <w:t xml:space="preserve">Порекло </w:t>
            </w:r>
            <w:r w:rsidRPr="003E3916">
              <w:rPr>
                <w:i w:val="0"/>
                <w:color w:val="FFFFFF"/>
                <w:sz w:val="18"/>
              </w:rPr>
              <w:t>контаминиране намирнице</w:t>
            </w:r>
          </w:p>
        </w:tc>
        <w:tc>
          <w:tcPr>
            <w:tcW w:w="7095" w:type="dxa"/>
            <w:gridSpan w:val="10"/>
          </w:tcPr>
          <w:p w:rsidR="00FE5039" w:rsidRPr="003E3916" w:rsidRDefault="00FE5039" w:rsidP="000D12AD">
            <w:pPr>
              <w:spacing w:after="160" w:line="259" w:lineRule="auto"/>
              <w:jc w:val="center"/>
              <w:cnfStyle w:val="100000000000" w:firstRow="1" w:lastRow="0" w:firstColumn="0" w:lastColumn="0" w:oddVBand="0" w:evenVBand="0" w:oddHBand="0" w:evenHBand="0" w:firstRowFirstColumn="0" w:firstRowLastColumn="0" w:lastRowFirstColumn="0" w:lastRowLastColumn="0"/>
              <w:rPr>
                <w:i w:val="0"/>
                <w:sz w:val="18"/>
              </w:rPr>
            </w:pPr>
            <w:r w:rsidRPr="003E3916">
              <w:rPr>
                <w:i w:val="0"/>
                <w:color w:val="FFFFFF"/>
                <w:sz w:val="18"/>
              </w:rPr>
              <w:t>Број епидемија по годинама</w:t>
            </w:r>
          </w:p>
        </w:tc>
        <w:tc>
          <w:tcPr>
            <w:tcW w:w="991" w:type="dxa"/>
            <w:vMerge w:val="restart"/>
          </w:tcPr>
          <w:p w:rsidR="00FE5039" w:rsidRPr="003E3916" w:rsidRDefault="00FE5039" w:rsidP="000D12AD">
            <w:pPr>
              <w:spacing w:line="259" w:lineRule="auto"/>
              <w:ind w:left="67"/>
              <w:jc w:val="right"/>
              <w:cnfStyle w:val="100000000000" w:firstRow="1" w:lastRow="0" w:firstColumn="0" w:lastColumn="0" w:oddVBand="0" w:evenVBand="0" w:oddHBand="0" w:evenHBand="0" w:firstRowFirstColumn="0" w:firstRowLastColumn="0" w:lastRowFirstColumn="0" w:lastRowLastColumn="0"/>
              <w:rPr>
                <w:i w:val="0"/>
                <w:sz w:val="18"/>
              </w:rPr>
            </w:pPr>
            <w:r w:rsidRPr="003E3916">
              <w:rPr>
                <w:i w:val="0"/>
                <w:color w:val="FFFFFF"/>
                <w:sz w:val="18"/>
              </w:rPr>
              <w:t xml:space="preserve">укупно </w:t>
            </w:r>
          </w:p>
        </w:tc>
      </w:tr>
      <w:tr w:rsidR="00FE5039" w:rsidRPr="003E3916" w:rsidTr="00B03CC0">
        <w:trPr>
          <w:cnfStyle w:val="000000100000" w:firstRow="0" w:lastRow="0" w:firstColumn="0" w:lastColumn="0" w:oddVBand="0" w:evenVBand="0" w:oddHBand="1" w:evenHBand="0"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2234" w:type="dxa"/>
            <w:vMerge/>
          </w:tcPr>
          <w:p w:rsidR="00FE5039" w:rsidRPr="003E3916" w:rsidRDefault="00FE5039" w:rsidP="00B03CC0">
            <w:pPr>
              <w:spacing w:after="160" w:line="259" w:lineRule="auto"/>
              <w:jc w:val="right"/>
              <w:rPr>
                <w:i w:val="0"/>
                <w:sz w:val="18"/>
              </w:rPr>
            </w:pPr>
          </w:p>
        </w:tc>
        <w:tc>
          <w:tcPr>
            <w:tcW w:w="709" w:type="dxa"/>
            <w:shd w:val="clear" w:color="auto" w:fill="3494BA" w:themeFill="accent1"/>
          </w:tcPr>
          <w:p w:rsidR="00FE5039" w:rsidRPr="00900DA5" w:rsidRDefault="00FE5039" w:rsidP="00B03CC0">
            <w:pPr>
              <w:spacing w:line="259" w:lineRule="auto"/>
              <w:ind w:left="4"/>
              <w:jc w:val="right"/>
              <w:cnfStyle w:val="000000100000" w:firstRow="0" w:lastRow="0" w:firstColumn="0" w:lastColumn="0" w:oddVBand="0" w:evenVBand="0" w:oddHBand="1" w:evenHBand="0" w:firstRowFirstColumn="0" w:firstRowLastColumn="0" w:lastRowFirstColumn="0" w:lastRowLastColumn="0"/>
              <w:rPr>
                <w:color w:val="FFFFFF" w:themeColor="background1"/>
                <w:sz w:val="18"/>
              </w:rPr>
            </w:pPr>
            <w:r>
              <w:rPr>
                <w:b/>
                <w:color w:val="FFFFFF" w:themeColor="background1"/>
                <w:sz w:val="18"/>
              </w:rPr>
              <w:t>2008</w:t>
            </w:r>
            <w:r w:rsidRPr="00900DA5">
              <w:rPr>
                <w:b/>
                <w:color w:val="FFFFFF" w:themeColor="background1"/>
                <w:sz w:val="18"/>
              </w:rPr>
              <w:t xml:space="preserve"> </w:t>
            </w:r>
          </w:p>
        </w:tc>
        <w:tc>
          <w:tcPr>
            <w:tcW w:w="708" w:type="dxa"/>
            <w:shd w:val="clear" w:color="auto" w:fill="3494BA" w:themeFill="accent1"/>
          </w:tcPr>
          <w:p w:rsidR="00FE5039" w:rsidRPr="00900DA5" w:rsidRDefault="00FE5039" w:rsidP="00B03CC0">
            <w:pPr>
              <w:spacing w:line="259" w:lineRule="auto"/>
              <w:ind w:left="4"/>
              <w:jc w:val="right"/>
              <w:cnfStyle w:val="000000100000" w:firstRow="0" w:lastRow="0" w:firstColumn="0" w:lastColumn="0" w:oddVBand="0" w:evenVBand="0" w:oddHBand="1" w:evenHBand="0" w:firstRowFirstColumn="0" w:firstRowLastColumn="0" w:lastRowFirstColumn="0" w:lastRowLastColumn="0"/>
              <w:rPr>
                <w:color w:val="FFFFFF" w:themeColor="background1"/>
                <w:sz w:val="18"/>
              </w:rPr>
            </w:pPr>
            <w:r>
              <w:rPr>
                <w:b/>
                <w:color w:val="FFFFFF" w:themeColor="background1"/>
                <w:sz w:val="18"/>
              </w:rPr>
              <w:t>2009</w:t>
            </w:r>
            <w:r w:rsidRPr="00900DA5">
              <w:rPr>
                <w:b/>
                <w:color w:val="FFFFFF" w:themeColor="background1"/>
                <w:sz w:val="18"/>
              </w:rPr>
              <w:t xml:space="preserve"> </w:t>
            </w:r>
          </w:p>
        </w:tc>
        <w:tc>
          <w:tcPr>
            <w:tcW w:w="708" w:type="dxa"/>
            <w:shd w:val="clear" w:color="auto" w:fill="3494BA" w:themeFill="accent1"/>
          </w:tcPr>
          <w:p w:rsidR="00FE5039" w:rsidRPr="00900DA5" w:rsidRDefault="00FE5039" w:rsidP="00B03CC0">
            <w:pPr>
              <w:spacing w:line="259" w:lineRule="auto"/>
              <w:ind w:left="4"/>
              <w:jc w:val="right"/>
              <w:cnfStyle w:val="000000100000" w:firstRow="0" w:lastRow="0" w:firstColumn="0" w:lastColumn="0" w:oddVBand="0" w:evenVBand="0" w:oddHBand="1" w:evenHBand="0" w:firstRowFirstColumn="0" w:firstRowLastColumn="0" w:lastRowFirstColumn="0" w:lastRowLastColumn="0"/>
              <w:rPr>
                <w:color w:val="FFFFFF" w:themeColor="background1"/>
                <w:sz w:val="18"/>
              </w:rPr>
            </w:pPr>
            <w:r>
              <w:rPr>
                <w:b/>
                <w:color w:val="FFFFFF" w:themeColor="background1"/>
                <w:sz w:val="18"/>
              </w:rPr>
              <w:t>2010</w:t>
            </w:r>
          </w:p>
        </w:tc>
        <w:tc>
          <w:tcPr>
            <w:tcW w:w="721" w:type="dxa"/>
            <w:shd w:val="clear" w:color="auto" w:fill="3494BA" w:themeFill="accent1"/>
          </w:tcPr>
          <w:p w:rsidR="00FE5039" w:rsidRPr="00900DA5" w:rsidRDefault="00FE5039" w:rsidP="00B03CC0">
            <w:pPr>
              <w:spacing w:line="259" w:lineRule="auto"/>
              <w:ind w:left="4"/>
              <w:jc w:val="right"/>
              <w:cnfStyle w:val="000000100000" w:firstRow="0" w:lastRow="0" w:firstColumn="0" w:lastColumn="0" w:oddVBand="0" w:evenVBand="0" w:oddHBand="1" w:evenHBand="0" w:firstRowFirstColumn="0" w:firstRowLastColumn="0" w:lastRowFirstColumn="0" w:lastRowLastColumn="0"/>
              <w:rPr>
                <w:color w:val="FFFFFF" w:themeColor="background1"/>
                <w:sz w:val="18"/>
              </w:rPr>
            </w:pPr>
            <w:r>
              <w:rPr>
                <w:b/>
                <w:color w:val="FFFFFF" w:themeColor="background1"/>
                <w:sz w:val="18"/>
              </w:rPr>
              <w:t>2011</w:t>
            </w:r>
            <w:r w:rsidRPr="00900DA5">
              <w:rPr>
                <w:b/>
                <w:color w:val="FFFFFF" w:themeColor="background1"/>
                <w:sz w:val="18"/>
              </w:rPr>
              <w:t xml:space="preserve"> </w:t>
            </w:r>
          </w:p>
        </w:tc>
        <w:tc>
          <w:tcPr>
            <w:tcW w:w="707" w:type="dxa"/>
            <w:shd w:val="clear" w:color="auto" w:fill="3494BA" w:themeFill="accent1"/>
          </w:tcPr>
          <w:p w:rsidR="00FE5039" w:rsidRPr="00900DA5" w:rsidRDefault="00FE5039" w:rsidP="00B03CC0">
            <w:pPr>
              <w:spacing w:line="259" w:lineRule="auto"/>
              <w:ind w:left="3"/>
              <w:jc w:val="right"/>
              <w:cnfStyle w:val="000000100000" w:firstRow="0" w:lastRow="0" w:firstColumn="0" w:lastColumn="0" w:oddVBand="0" w:evenVBand="0" w:oddHBand="1" w:evenHBand="0" w:firstRowFirstColumn="0" w:firstRowLastColumn="0" w:lastRowFirstColumn="0" w:lastRowLastColumn="0"/>
              <w:rPr>
                <w:color w:val="FFFFFF" w:themeColor="background1"/>
                <w:sz w:val="18"/>
              </w:rPr>
            </w:pPr>
            <w:r>
              <w:rPr>
                <w:b/>
                <w:color w:val="FFFFFF" w:themeColor="background1"/>
                <w:sz w:val="18"/>
              </w:rPr>
              <w:t>2012</w:t>
            </w:r>
            <w:r w:rsidRPr="00900DA5">
              <w:rPr>
                <w:b/>
                <w:color w:val="FFFFFF" w:themeColor="background1"/>
                <w:sz w:val="18"/>
              </w:rPr>
              <w:t xml:space="preserve"> </w:t>
            </w:r>
          </w:p>
        </w:tc>
        <w:tc>
          <w:tcPr>
            <w:tcW w:w="709" w:type="dxa"/>
            <w:shd w:val="clear" w:color="auto" w:fill="3494BA" w:themeFill="accent1"/>
          </w:tcPr>
          <w:p w:rsidR="00FE5039" w:rsidRPr="00900DA5" w:rsidRDefault="00FE5039" w:rsidP="00B03CC0">
            <w:pPr>
              <w:spacing w:line="259" w:lineRule="auto"/>
              <w:ind w:left="4"/>
              <w:jc w:val="right"/>
              <w:cnfStyle w:val="000000100000" w:firstRow="0" w:lastRow="0" w:firstColumn="0" w:lastColumn="0" w:oddVBand="0" w:evenVBand="0" w:oddHBand="1" w:evenHBand="0" w:firstRowFirstColumn="0" w:firstRowLastColumn="0" w:lastRowFirstColumn="0" w:lastRowLastColumn="0"/>
              <w:rPr>
                <w:color w:val="FFFFFF" w:themeColor="background1"/>
                <w:sz w:val="18"/>
              </w:rPr>
            </w:pPr>
            <w:r>
              <w:rPr>
                <w:b/>
                <w:color w:val="FFFFFF" w:themeColor="background1"/>
                <w:sz w:val="18"/>
              </w:rPr>
              <w:t>2013</w:t>
            </w:r>
            <w:r w:rsidRPr="00900DA5">
              <w:rPr>
                <w:b/>
                <w:color w:val="FFFFFF" w:themeColor="background1"/>
                <w:sz w:val="18"/>
              </w:rPr>
              <w:t xml:space="preserve"> </w:t>
            </w:r>
          </w:p>
        </w:tc>
        <w:tc>
          <w:tcPr>
            <w:tcW w:w="708" w:type="dxa"/>
            <w:shd w:val="clear" w:color="auto" w:fill="3494BA" w:themeFill="accent1"/>
          </w:tcPr>
          <w:p w:rsidR="00FE5039" w:rsidRPr="00900DA5" w:rsidRDefault="00FE5039" w:rsidP="00B03CC0">
            <w:pPr>
              <w:spacing w:line="259" w:lineRule="auto"/>
              <w:ind w:left="4"/>
              <w:jc w:val="right"/>
              <w:cnfStyle w:val="000000100000" w:firstRow="0" w:lastRow="0" w:firstColumn="0" w:lastColumn="0" w:oddVBand="0" w:evenVBand="0" w:oddHBand="1" w:evenHBand="0" w:firstRowFirstColumn="0" w:firstRowLastColumn="0" w:lastRowFirstColumn="0" w:lastRowLastColumn="0"/>
              <w:rPr>
                <w:b/>
                <w:color w:val="FFFFFF" w:themeColor="background1"/>
                <w:sz w:val="18"/>
              </w:rPr>
            </w:pPr>
            <w:r>
              <w:rPr>
                <w:b/>
                <w:color w:val="FFFFFF" w:themeColor="background1"/>
                <w:sz w:val="18"/>
              </w:rPr>
              <w:t>2014</w:t>
            </w:r>
          </w:p>
        </w:tc>
        <w:tc>
          <w:tcPr>
            <w:tcW w:w="708" w:type="dxa"/>
            <w:shd w:val="clear" w:color="auto" w:fill="3494BA" w:themeFill="accent1"/>
          </w:tcPr>
          <w:p w:rsidR="00FE5039" w:rsidRPr="00900DA5" w:rsidRDefault="00FE5039" w:rsidP="00B03CC0">
            <w:pPr>
              <w:spacing w:line="259" w:lineRule="auto"/>
              <w:ind w:left="4"/>
              <w:jc w:val="right"/>
              <w:cnfStyle w:val="000000100000" w:firstRow="0" w:lastRow="0" w:firstColumn="0" w:lastColumn="0" w:oddVBand="0" w:evenVBand="0" w:oddHBand="1" w:evenHBand="0" w:firstRowFirstColumn="0" w:firstRowLastColumn="0" w:lastRowFirstColumn="0" w:lastRowLastColumn="0"/>
              <w:rPr>
                <w:b/>
                <w:color w:val="FFFFFF" w:themeColor="background1"/>
                <w:sz w:val="18"/>
              </w:rPr>
            </w:pPr>
            <w:r>
              <w:rPr>
                <w:b/>
                <w:color w:val="FFFFFF" w:themeColor="background1"/>
                <w:sz w:val="18"/>
              </w:rPr>
              <w:t>2015</w:t>
            </w:r>
          </w:p>
        </w:tc>
        <w:tc>
          <w:tcPr>
            <w:tcW w:w="709" w:type="dxa"/>
            <w:shd w:val="clear" w:color="auto" w:fill="3494BA" w:themeFill="accent1"/>
          </w:tcPr>
          <w:p w:rsidR="00FE5039" w:rsidRPr="00900DA5" w:rsidRDefault="00FE5039" w:rsidP="00B03CC0">
            <w:pPr>
              <w:spacing w:line="259" w:lineRule="auto"/>
              <w:ind w:left="4"/>
              <w:jc w:val="right"/>
              <w:cnfStyle w:val="000000100000" w:firstRow="0" w:lastRow="0" w:firstColumn="0" w:lastColumn="0" w:oddVBand="0" w:evenVBand="0" w:oddHBand="1" w:evenHBand="0" w:firstRowFirstColumn="0" w:firstRowLastColumn="0" w:lastRowFirstColumn="0" w:lastRowLastColumn="0"/>
              <w:rPr>
                <w:b/>
                <w:color w:val="FFFFFF" w:themeColor="background1"/>
                <w:sz w:val="18"/>
              </w:rPr>
            </w:pPr>
            <w:r>
              <w:rPr>
                <w:b/>
                <w:color w:val="FFFFFF" w:themeColor="background1"/>
                <w:sz w:val="18"/>
              </w:rPr>
              <w:t>2016</w:t>
            </w:r>
          </w:p>
        </w:tc>
        <w:tc>
          <w:tcPr>
            <w:tcW w:w="708" w:type="dxa"/>
            <w:shd w:val="clear" w:color="auto" w:fill="3494BA" w:themeFill="accent1"/>
          </w:tcPr>
          <w:p w:rsidR="00FE5039" w:rsidRPr="00E071EC" w:rsidRDefault="00FE5039" w:rsidP="00B03CC0">
            <w:pPr>
              <w:spacing w:line="259" w:lineRule="auto"/>
              <w:ind w:left="4"/>
              <w:jc w:val="right"/>
              <w:cnfStyle w:val="000000100000" w:firstRow="0" w:lastRow="0" w:firstColumn="0" w:lastColumn="0" w:oddVBand="0" w:evenVBand="0" w:oddHBand="1" w:evenHBand="0" w:firstRowFirstColumn="0" w:firstRowLastColumn="0" w:lastRowFirstColumn="0" w:lastRowLastColumn="0"/>
              <w:rPr>
                <w:b/>
                <w:color w:val="FFFFFF" w:themeColor="background1"/>
                <w:sz w:val="18"/>
              </w:rPr>
            </w:pPr>
            <w:r>
              <w:rPr>
                <w:b/>
                <w:color w:val="FFFFFF" w:themeColor="background1"/>
                <w:sz w:val="18"/>
              </w:rPr>
              <w:t>2017</w:t>
            </w:r>
          </w:p>
        </w:tc>
        <w:tc>
          <w:tcPr>
            <w:tcW w:w="0" w:type="auto"/>
            <w:vMerge/>
          </w:tcPr>
          <w:p w:rsidR="00FE5039" w:rsidRPr="003E3916" w:rsidRDefault="00FE5039" w:rsidP="00B03CC0">
            <w:pPr>
              <w:spacing w:after="160" w:line="259" w:lineRule="auto"/>
              <w:jc w:val="right"/>
              <w:cnfStyle w:val="000000100000" w:firstRow="0" w:lastRow="0" w:firstColumn="0" w:lastColumn="0" w:oddVBand="0" w:evenVBand="0" w:oddHBand="1" w:evenHBand="0" w:firstRowFirstColumn="0" w:firstRowLastColumn="0" w:lastRowFirstColumn="0" w:lastRowLastColumn="0"/>
              <w:rPr>
                <w:sz w:val="18"/>
              </w:rPr>
            </w:pPr>
          </w:p>
        </w:tc>
      </w:tr>
      <w:tr w:rsidR="00FE5039" w:rsidRPr="003E3916" w:rsidTr="00B03CC0">
        <w:trPr>
          <w:cnfStyle w:val="000000010000" w:firstRow="0" w:lastRow="0" w:firstColumn="0" w:lastColumn="0" w:oddVBand="0" w:evenVBand="0" w:oddHBand="0" w:evenHBand="1" w:firstRowFirstColumn="0" w:firstRowLastColumn="0" w:lastRowFirstColumn="0" w:lastRowLastColumn="0"/>
          <w:trHeight w:val="268"/>
          <w:jc w:val="center"/>
        </w:trPr>
        <w:tc>
          <w:tcPr>
            <w:cnfStyle w:val="001000000000" w:firstRow="0" w:lastRow="0" w:firstColumn="1" w:lastColumn="0" w:oddVBand="0" w:evenVBand="0" w:oddHBand="0" w:evenHBand="0" w:firstRowFirstColumn="0" w:firstRowLastColumn="0" w:lastRowFirstColumn="0" w:lastRowLastColumn="0"/>
            <w:tcW w:w="2234" w:type="dxa"/>
          </w:tcPr>
          <w:p w:rsidR="00FE5039" w:rsidRPr="0043789C" w:rsidRDefault="00FE5039" w:rsidP="00B03CC0">
            <w:pPr>
              <w:spacing w:line="259" w:lineRule="auto"/>
              <w:jc w:val="right"/>
              <w:rPr>
                <w:sz w:val="18"/>
              </w:rPr>
            </w:pPr>
            <w:r w:rsidRPr="0043789C">
              <w:rPr>
                <w:sz w:val="18"/>
              </w:rPr>
              <w:t xml:space="preserve">Домаћа производња </w:t>
            </w:r>
          </w:p>
        </w:tc>
        <w:tc>
          <w:tcPr>
            <w:tcW w:w="709" w:type="dxa"/>
          </w:tcPr>
          <w:p w:rsidR="00FE5039" w:rsidRPr="003E3916" w:rsidRDefault="00FE5039" w:rsidP="00B03CC0">
            <w:pPr>
              <w:spacing w:line="259" w:lineRule="auto"/>
              <w:ind w:right="9"/>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40 </w:t>
            </w:r>
          </w:p>
        </w:tc>
        <w:tc>
          <w:tcPr>
            <w:tcW w:w="708" w:type="dxa"/>
          </w:tcPr>
          <w:p w:rsidR="00FE5039" w:rsidRPr="003E3916" w:rsidRDefault="00FE5039" w:rsidP="00B03CC0">
            <w:pPr>
              <w:spacing w:line="259" w:lineRule="auto"/>
              <w:ind w:right="6"/>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28 </w:t>
            </w:r>
          </w:p>
        </w:tc>
        <w:tc>
          <w:tcPr>
            <w:tcW w:w="708" w:type="dxa"/>
          </w:tcPr>
          <w:p w:rsidR="00FE5039" w:rsidRPr="003E391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34 </w:t>
            </w:r>
          </w:p>
        </w:tc>
        <w:tc>
          <w:tcPr>
            <w:tcW w:w="721" w:type="dxa"/>
          </w:tcPr>
          <w:p w:rsidR="00FE5039" w:rsidRPr="003E3916" w:rsidRDefault="00FE5039" w:rsidP="00B03CC0">
            <w:pPr>
              <w:spacing w:line="259" w:lineRule="auto"/>
              <w:ind w:right="9"/>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24 </w:t>
            </w:r>
          </w:p>
        </w:tc>
        <w:tc>
          <w:tcPr>
            <w:tcW w:w="707" w:type="dxa"/>
          </w:tcPr>
          <w:p w:rsidR="00FE5039" w:rsidRPr="003E391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17 </w:t>
            </w:r>
          </w:p>
        </w:tc>
        <w:tc>
          <w:tcPr>
            <w:tcW w:w="709" w:type="dxa"/>
          </w:tcPr>
          <w:p w:rsidR="00FE5039" w:rsidRPr="003E391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30</w:t>
            </w:r>
          </w:p>
        </w:tc>
        <w:tc>
          <w:tcPr>
            <w:tcW w:w="708" w:type="dxa"/>
          </w:tcPr>
          <w:p w:rsidR="00FE5039" w:rsidRPr="00C272A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Pr>
                <w:sz w:val="18"/>
              </w:rPr>
              <w:t>15</w:t>
            </w:r>
          </w:p>
        </w:tc>
        <w:tc>
          <w:tcPr>
            <w:tcW w:w="708" w:type="dxa"/>
          </w:tcPr>
          <w:p w:rsidR="00FE5039" w:rsidRPr="002F1DF9"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sidRPr="002F1DF9">
              <w:rPr>
                <w:sz w:val="18"/>
              </w:rPr>
              <w:t>2</w:t>
            </w:r>
            <w:r>
              <w:rPr>
                <w:sz w:val="18"/>
              </w:rPr>
              <w:t>5</w:t>
            </w:r>
          </w:p>
        </w:tc>
        <w:tc>
          <w:tcPr>
            <w:tcW w:w="709" w:type="dxa"/>
          </w:tcPr>
          <w:p w:rsidR="00FE5039" w:rsidRPr="00DA71AB"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highlight w:val="yellow"/>
              </w:rPr>
            </w:pPr>
            <w:r w:rsidRPr="00623960">
              <w:rPr>
                <w:sz w:val="18"/>
              </w:rPr>
              <w:t>15</w:t>
            </w:r>
          </w:p>
        </w:tc>
        <w:tc>
          <w:tcPr>
            <w:tcW w:w="708" w:type="dxa"/>
            <w:shd w:val="clear" w:color="auto" w:fill="auto"/>
          </w:tcPr>
          <w:p w:rsidR="00FE5039" w:rsidRPr="00321EE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lang w:val="sr-Cyrl-RS"/>
              </w:rPr>
            </w:pPr>
            <w:r w:rsidRPr="00321EE6">
              <w:rPr>
                <w:sz w:val="18"/>
                <w:lang w:val="sr-Cyrl-RS"/>
              </w:rPr>
              <w:t>9</w:t>
            </w:r>
          </w:p>
        </w:tc>
        <w:tc>
          <w:tcPr>
            <w:tcW w:w="991" w:type="dxa"/>
            <w:shd w:val="clear" w:color="auto" w:fill="auto"/>
          </w:tcPr>
          <w:p w:rsidR="00FE5039" w:rsidRPr="00321EE6" w:rsidRDefault="00FE5039" w:rsidP="00B03CC0">
            <w:pPr>
              <w:spacing w:line="259" w:lineRule="auto"/>
              <w:ind w:right="10"/>
              <w:jc w:val="right"/>
              <w:cnfStyle w:val="000000010000" w:firstRow="0" w:lastRow="0" w:firstColumn="0" w:lastColumn="0" w:oddVBand="0" w:evenVBand="0" w:oddHBand="0" w:evenHBand="1" w:firstRowFirstColumn="0" w:firstRowLastColumn="0" w:lastRowFirstColumn="0" w:lastRowLastColumn="0"/>
              <w:rPr>
                <w:b/>
                <w:sz w:val="18"/>
                <w:lang w:val="sr-Cyrl-RS"/>
              </w:rPr>
            </w:pPr>
            <w:r w:rsidRPr="00321EE6">
              <w:rPr>
                <w:b/>
                <w:sz w:val="18"/>
                <w:lang w:val="sr-Cyrl-RS"/>
              </w:rPr>
              <w:t>238</w:t>
            </w:r>
          </w:p>
        </w:tc>
      </w:tr>
      <w:tr w:rsidR="00FE5039" w:rsidRPr="003E3916" w:rsidTr="00B03CC0">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2234" w:type="dxa"/>
          </w:tcPr>
          <w:p w:rsidR="00FE5039" w:rsidRPr="0043789C" w:rsidRDefault="00FE5039" w:rsidP="00B03CC0">
            <w:pPr>
              <w:spacing w:line="259" w:lineRule="auto"/>
              <w:jc w:val="right"/>
              <w:rPr>
                <w:sz w:val="18"/>
              </w:rPr>
            </w:pPr>
            <w:r w:rsidRPr="0043789C">
              <w:rPr>
                <w:sz w:val="18"/>
              </w:rPr>
              <w:t xml:space="preserve">Угоститељски објекти </w:t>
            </w:r>
          </w:p>
        </w:tc>
        <w:tc>
          <w:tcPr>
            <w:tcW w:w="709" w:type="dxa"/>
          </w:tcPr>
          <w:p w:rsidR="00FE5039" w:rsidRPr="003E3916" w:rsidRDefault="00FE5039" w:rsidP="00B03CC0">
            <w:pPr>
              <w:spacing w:line="259" w:lineRule="auto"/>
              <w:ind w:right="9"/>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 xml:space="preserve">5 </w:t>
            </w:r>
          </w:p>
        </w:tc>
        <w:tc>
          <w:tcPr>
            <w:tcW w:w="708" w:type="dxa"/>
          </w:tcPr>
          <w:p w:rsidR="00FE5039" w:rsidRPr="003E3916" w:rsidRDefault="00FE5039" w:rsidP="00B03CC0">
            <w:pPr>
              <w:spacing w:line="259" w:lineRule="auto"/>
              <w:ind w:right="6"/>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 xml:space="preserve">0 </w:t>
            </w:r>
          </w:p>
        </w:tc>
        <w:tc>
          <w:tcPr>
            <w:tcW w:w="708" w:type="dxa"/>
          </w:tcPr>
          <w:p w:rsidR="00FE5039" w:rsidRPr="003E391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 xml:space="preserve">2 </w:t>
            </w:r>
          </w:p>
        </w:tc>
        <w:tc>
          <w:tcPr>
            <w:tcW w:w="721" w:type="dxa"/>
          </w:tcPr>
          <w:p w:rsidR="00FE5039" w:rsidRPr="003E3916" w:rsidRDefault="00FE5039" w:rsidP="00B03CC0">
            <w:pPr>
              <w:spacing w:line="259" w:lineRule="auto"/>
              <w:ind w:right="9"/>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 xml:space="preserve">1 </w:t>
            </w:r>
          </w:p>
        </w:tc>
        <w:tc>
          <w:tcPr>
            <w:tcW w:w="707" w:type="dxa"/>
          </w:tcPr>
          <w:p w:rsidR="00FE5039" w:rsidRPr="003E391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 xml:space="preserve">0 </w:t>
            </w:r>
          </w:p>
        </w:tc>
        <w:tc>
          <w:tcPr>
            <w:tcW w:w="709" w:type="dxa"/>
          </w:tcPr>
          <w:p w:rsidR="00FE5039" w:rsidRPr="003E391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0</w:t>
            </w:r>
          </w:p>
        </w:tc>
        <w:tc>
          <w:tcPr>
            <w:tcW w:w="708" w:type="dxa"/>
          </w:tcPr>
          <w:p w:rsidR="00FE5039" w:rsidRPr="00C272A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Pr>
                <w:sz w:val="18"/>
              </w:rPr>
              <w:t>3</w:t>
            </w:r>
          </w:p>
        </w:tc>
        <w:tc>
          <w:tcPr>
            <w:tcW w:w="708" w:type="dxa"/>
          </w:tcPr>
          <w:p w:rsidR="00FE5039" w:rsidRPr="002F1DF9"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sidRPr="002F1DF9">
              <w:rPr>
                <w:sz w:val="18"/>
              </w:rPr>
              <w:t>2</w:t>
            </w:r>
          </w:p>
        </w:tc>
        <w:tc>
          <w:tcPr>
            <w:tcW w:w="709" w:type="dxa"/>
          </w:tcPr>
          <w:p w:rsidR="00FE5039" w:rsidRPr="00E071EC"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Pr>
                <w:sz w:val="18"/>
              </w:rPr>
              <w:t>3</w:t>
            </w:r>
          </w:p>
        </w:tc>
        <w:tc>
          <w:tcPr>
            <w:tcW w:w="708" w:type="dxa"/>
          </w:tcPr>
          <w:p w:rsidR="00FE5039" w:rsidRPr="00321EE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lang w:val="sr-Cyrl-RS"/>
              </w:rPr>
            </w:pPr>
            <w:r>
              <w:rPr>
                <w:sz w:val="18"/>
                <w:lang w:val="sr-Cyrl-RS"/>
              </w:rPr>
              <w:t>3</w:t>
            </w:r>
          </w:p>
        </w:tc>
        <w:tc>
          <w:tcPr>
            <w:tcW w:w="991" w:type="dxa"/>
          </w:tcPr>
          <w:p w:rsidR="00FE5039" w:rsidRPr="00321EE6" w:rsidRDefault="00FE5039" w:rsidP="00B03CC0">
            <w:pPr>
              <w:spacing w:line="259" w:lineRule="auto"/>
              <w:ind w:right="5"/>
              <w:jc w:val="right"/>
              <w:cnfStyle w:val="000000100000" w:firstRow="0" w:lastRow="0" w:firstColumn="0" w:lastColumn="0" w:oddVBand="0" w:evenVBand="0" w:oddHBand="1" w:evenHBand="0" w:firstRowFirstColumn="0" w:firstRowLastColumn="0" w:lastRowFirstColumn="0" w:lastRowLastColumn="0"/>
              <w:rPr>
                <w:b/>
                <w:sz w:val="18"/>
                <w:lang w:val="sr-Cyrl-RS"/>
              </w:rPr>
            </w:pPr>
            <w:r>
              <w:rPr>
                <w:b/>
                <w:sz w:val="18"/>
                <w:lang w:val="sr-Cyrl-RS"/>
              </w:rPr>
              <w:t>19</w:t>
            </w:r>
          </w:p>
        </w:tc>
      </w:tr>
      <w:tr w:rsidR="00FE5039" w:rsidRPr="003E3916" w:rsidTr="00B03CC0">
        <w:trPr>
          <w:cnfStyle w:val="000000010000" w:firstRow="0" w:lastRow="0" w:firstColumn="0" w:lastColumn="0" w:oddVBand="0" w:evenVBand="0" w:oddHBand="0" w:evenHBand="1" w:firstRowFirstColumn="0" w:firstRowLastColumn="0" w:lastRowFirstColumn="0" w:lastRowLastColumn="0"/>
          <w:trHeight w:val="497"/>
          <w:jc w:val="center"/>
        </w:trPr>
        <w:tc>
          <w:tcPr>
            <w:cnfStyle w:val="001000000000" w:firstRow="0" w:lastRow="0" w:firstColumn="1" w:lastColumn="0" w:oddVBand="0" w:evenVBand="0" w:oddHBand="0" w:evenHBand="0" w:firstRowFirstColumn="0" w:firstRowLastColumn="0" w:lastRowFirstColumn="0" w:lastRowLastColumn="0"/>
            <w:tcW w:w="2234" w:type="dxa"/>
          </w:tcPr>
          <w:p w:rsidR="00FE5039" w:rsidRPr="0043789C" w:rsidRDefault="00FE5039" w:rsidP="00B03CC0">
            <w:pPr>
              <w:spacing w:line="259" w:lineRule="auto"/>
              <w:jc w:val="right"/>
              <w:rPr>
                <w:sz w:val="18"/>
              </w:rPr>
            </w:pPr>
            <w:r w:rsidRPr="0043789C">
              <w:rPr>
                <w:sz w:val="18"/>
              </w:rPr>
              <w:t xml:space="preserve">Ресторан друштвене исхране </w:t>
            </w:r>
          </w:p>
        </w:tc>
        <w:tc>
          <w:tcPr>
            <w:tcW w:w="709" w:type="dxa"/>
          </w:tcPr>
          <w:p w:rsidR="00FE5039" w:rsidRPr="003E3916" w:rsidRDefault="00FE5039" w:rsidP="00B03CC0">
            <w:pPr>
              <w:spacing w:line="259" w:lineRule="auto"/>
              <w:ind w:right="9"/>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0 </w:t>
            </w:r>
          </w:p>
        </w:tc>
        <w:tc>
          <w:tcPr>
            <w:tcW w:w="708" w:type="dxa"/>
          </w:tcPr>
          <w:p w:rsidR="00FE5039" w:rsidRPr="003E3916" w:rsidRDefault="00FE5039" w:rsidP="00B03CC0">
            <w:pPr>
              <w:spacing w:line="259" w:lineRule="auto"/>
              <w:ind w:right="6"/>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0 </w:t>
            </w:r>
          </w:p>
        </w:tc>
        <w:tc>
          <w:tcPr>
            <w:tcW w:w="708" w:type="dxa"/>
          </w:tcPr>
          <w:p w:rsidR="00FE5039" w:rsidRPr="003E391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1 </w:t>
            </w:r>
          </w:p>
        </w:tc>
        <w:tc>
          <w:tcPr>
            <w:tcW w:w="721" w:type="dxa"/>
          </w:tcPr>
          <w:p w:rsidR="00FE5039" w:rsidRPr="003E3916" w:rsidRDefault="00FE5039" w:rsidP="00B03CC0">
            <w:pPr>
              <w:spacing w:line="259" w:lineRule="auto"/>
              <w:ind w:right="9"/>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3 </w:t>
            </w:r>
          </w:p>
        </w:tc>
        <w:tc>
          <w:tcPr>
            <w:tcW w:w="707" w:type="dxa"/>
          </w:tcPr>
          <w:p w:rsidR="00FE5039" w:rsidRPr="003E391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0 </w:t>
            </w:r>
          </w:p>
        </w:tc>
        <w:tc>
          <w:tcPr>
            <w:tcW w:w="709" w:type="dxa"/>
          </w:tcPr>
          <w:p w:rsidR="00FE5039" w:rsidRPr="003E391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1</w:t>
            </w:r>
          </w:p>
        </w:tc>
        <w:tc>
          <w:tcPr>
            <w:tcW w:w="708" w:type="dxa"/>
          </w:tcPr>
          <w:p w:rsidR="00FE5039" w:rsidRPr="00C272A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Pr>
                <w:sz w:val="18"/>
              </w:rPr>
              <w:t>0</w:t>
            </w:r>
          </w:p>
        </w:tc>
        <w:tc>
          <w:tcPr>
            <w:tcW w:w="708" w:type="dxa"/>
          </w:tcPr>
          <w:p w:rsidR="00FE5039" w:rsidRPr="002F1DF9"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sidRPr="002F1DF9">
              <w:rPr>
                <w:sz w:val="18"/>
              </w:rPr>
              <w:t>0</w:t>
            </w:r>
          </w:p>
        </w:tc>
        <w:tc>
          <w:tcPr>
            <w:tcW w:w="709" w:type="dxa"/>
          </w:tcPr>
          <w:p w:rsidR="00FE5039" w:rsidRPr="002F1DF9"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Pr>
                <w:sz w:val="18"/>
              </w:rPr>
              <w:t>1</w:t>
            </w:r>
          </w:p>
        </w:tc>
        <w:tc>
          <w:tcPr>
            <w:tcW w:w="708" w:type="dxa"/>
          </w:tcPr>
          <w:p w:rsidR="00FE5039" w:rsidRPr="00321EE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lang w:val="sr-Cyrl-RS"/>
              </w:rPr>
            </w:pPr>
            <w:r>
              <w:rPr>
                <w:sz w:val="18"/>
                <w:lang w:val="sr-Cyrl-RS"/>
              </w:rPr>
              <w:t>0</w:t>
            </w:r>
          </w:p>
        </w:tc>
        <w:tc>
          <w:tcPr>
            <w:tcW w:w="991" w:type="dxa"/>
          </w:tcPr>
          <w:p w:rsidR="00FE5039" w:rsidRPr="00321EE6" w:rsidRDefault="00FE5039" w:rsidP="00B03CC0">
            <w:pPr>
              <w:spacing w:line="259" w:lineRule="auto"/>
              <w:ind w:right="5"/>
              <w:jc w:val="right"/>
              <w:cnfStyle w:val="000000010000" w:firstRow="0" w:lastRow="0" w:firstColumn="0" w:lastColumn="0" w:oddVBand="0" w:evenVBand="0" w:oddHBand="0" w:evenHBand="1" w:firstRowFirstColumn="0" w:firstRowLastColumn="0" w:lastRowFirstColumn="0" w:lastRowLastColumn="0"/>
              <w:rPr>
                <w:b/>
                <w:sz w:val="18"/>
                <w:lang w:val="sr-Cyrl-RS"/>
              </w:rPr>
            </w:pPr>
            <w:r>
              <w:rPr>
                <w:b/>
                <w:sz w:val="18"/>
                <w:lang w:val="sr-Cyrl-RS"/>
              </w:rPr>
              <w:t>6</w:t>
            </w:r>
          </w:p>
        </w:tc>
      </w:tr>
      <w:tr w:rsidR="00FE5039" w:rsidRPr="003E3916" w:rsidTr="00B03CC0">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2234" w:type="dxa"/>
          </w:tcPr>
          <w:p w:rsidR="00FE5039" w:rsidRPr="0043789C" w:rsidRDefault="00FE5039" w:rsidP="00B03CC0">
            <w:pPr>
              <w:spacing w:line="259" w:lineRule="auto"/>
              <w:jc w:val="right"/>
              <w:rPr>
                <w:sz w:val="18"/>
              </w:rPr>
            </w:pPr>
            <w:r w:rsidRPr="0043789C">
              <w:rPr>
                <w:sz w:val="18"/>
              </w:rPr>
              <w:t xml:space="preserve">Продаја на пијаци </w:t>
            </w:r>
          </w:p>
        </w:tc>
        <w:tc>
          <w:tcPr>
            <w:tcW w:w="709" w:type="dxa"/>
          </w:tcPr>
          <w:p w:rsidR="00FE5039" w:rsidRPr="003E3916" w:rsidRDefault="00FE5039" w:rsidP="00B03CC0">
            <w:pPr>
              <w:spacing w:line="259" w:lineRule="auto"/>
              <w:ind w:right="9"/>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 xml:space="preserve">1 </w:t>
            </w:r>
          </w:p>
        </w:tc>
        <w:tc>
          <w:tcPr>
            <w:tcW w:w="708" w:type="dxa"/>
          </w:tcPr>
          <w:p w:rsidR="00FE5039" w:rsidRPr="003E3916" w:rsidRDefault="00FE5039" w:rsidP="00B03CC0">
            <w:pPr>
              <w:spacing w:line="259" w:lineRule="auto"/>
              <w:ind w:right="6"/>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 xml:space="preserve">0 </w:t>
            </w:r>
          </w:p>
        </w:tc>
        <w:tc>
          <w:tcPr>
            <w:tcW w:w="708" w:type="dxa"/>
          </w:tcPr>
          <w:p w:rsidR="00FE5039" w:rsidRPr="003E391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 xml:space="preserve">0 </w:t>
            </w:r>
          </w:p>
        </w:tc>
        <w:tc>
          <w:tcPr>
            <w:tcW w:w="721" w:type="dxa"/>
          </w:tcPr>
          <w:p w:rsidR="00FE5039" w:rsidRPr="003E3916" w:rsidRDefault="00FE5039" w:rsidP="00B03CC0">
            <w:pPr>
              <w:spacing w:line="259" w:lineRule="auto"/>
              <w:ind w:right="9"/>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 xml:space="preserve">0 </w:t>
            </w:r>
          </w:p>
        </w:tc>
        <w:tc>
          <w:tcPr>
            <w:tcW w:w="707" w:type="dxa"/>
          </w:tcPr>
          <w:p w:rsidR="00FE5039" w:rsidRPr="003E391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 xml:space="preserve">0 </w:t>
            </w:r>
          </w:p>
        </w:tc>
        <w:tc>
          <w:tcPr>
            <w:tcW w:w="709" w:type="dxa"/>
          </w:tcPr>
          <w:p w:rsidR="00FE5039" w:rsidRPr="003E391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0</w:t>
            </w:r>
          </w:p>
        </w:tc>
        <w:tc>
          <w:tcPr>
            <w:tcW w:w="708" w:type="dxa"/>
          </w:tcPr>
          <w:p w:rsidR="00FE5039" w:rsidRPr="00C272A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Pr>
                <w:sz w:val="18"/>
              </w:rPr>
              <w:t>0</w:t>
            </w:r>
          </w:p>
        </w:tc>
        <w:tc>
          <w:tcPr>
            <w:tcW w:w="708" w:type="dxa"/>
          </w:tcPr>
          <w:p w:rsidR="00FE5039" w:rsidRPr="002F1DF9"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sidRPr="002F1DF9">
              <w:rPr>
                <w:sz w:val="18"/>
              </w:rPr>
              <w:t>0</w:t>
            </w:r>
          </w:p>
        </w:tc>
        <w:tc>
          <w:tcPr>
            <w:tcW w:w="709" w:type="dxa"/>
          </w:tcPr>
          <w:p w:rsidR="00FE5039" w:rsidRPr="006B1E6C"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Pr>
                <w:sz w:val="18"/>
              </w:rPr>
              <w:t>0</w:t>
            </w:r>
          </w:p>
        </w:tc>
        <w:tc>
          <w:tcPr>
            <w:tcW w:w="708" w:type="dxa"/>
          </w:tcPr>
          <w:p w:rsidR="00FE5039" w:rsidRPr="00321EE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lang w:val="sr-Cyrl-RS"/>
              </w:rPr>
            </w:pPr>
            <w:r>
              <w:rPr>
                <w:sz w:val="18"/>
                <w:lang w:val="sr-Cyrl-RS"/>
              </w:rPr>
              <w:t>0</w:t>
            </w:r>
          </w:p>
        </w:tc>
        <w:tc>
          <w:tcPr>
            <w:tcW w:w="991" w:type="dxa"/>
          </w:tcPr>
          <w:p w:rsidR="00FE5039" w:rsidRPr="00321EE6" w:rsidRDefault="00FE5039" w:rsidP="00B03CC0">
            <w:pPr>
              <w:spacing w:line="259" w:lineRule="auto"/>
              <w:ind w:right="5"/>
              <w:jc w:val="right"/>
              <w:cnfStyle w:val="000000100000" w:firstRow="0" w:lastRow="0" w:firstColumn="0" w:lastColumn="0" w:oddVBand="0" w:evenVBand="0" w:oddHBand="1" w:evenHBand="0" w:firstRowFirstColumn="0" w:firstRowLastColumn="0" w:lastRowFirstColumn="0" w:lastRowLastColumn="0"/>
              <w:rPr>
                <w:b/>
                <w:sz w:val="18"/>
                <w:lang w:val="sr-Cyrl-RS"/>
              </w:rPr>
            </w:pPr>
            <w:r>
              <w:rPr>
                <w:b/>
                <w:sz w:val="18"/>
                <w:lang w:val="sr-Cyrl-RS"/>
              </w:rPr>
              <w:t>1</w:t>
            </w:r>
          </w:p>
        </w:tc>
      </w:tr>
      <w:tr w:rsidR="00FE5039" w:rsidRPr="003E3916"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2234" w:type="dxa"/>
          </w:tcPr>
          <w:p w:rsidR="00FE5039" w:rsidRPr="0043789C" w:rsidRDefault="00FE5039" w:rsidP="00B03CC0">
            <w:pPr>
              <w:spacing w:line="259" w:lineRule="auto"/>
              <w:jc w:val="right"/>
              <w:rPr>
                <w:sz w:val="18"/>
              </w:rPr>
            </w:pPr>
            <w:r w:rsidRPr="0043789C">
              <w:rPr>
                <w:sz w:val="18"/>
              </w:rPr>
              <w:t xml:space="preserve">Месарске радње </w:t>
            </w:r>
          </w:p>
        </w:tc>
        <w:tc>
          <w:tcPr>
            <w:tcW w:w="709" w:type="dxa"/>
          </w:tcPr>
          <w:p w:rsidR="00FE5039" w:rsidRPr="003E3916" w:rsidRDefault="00FE5039" w:rsidP="00B03CC0">
            <w:pPr>
              <w:spacing w:line="259" w:lineRule="auto"/>
              <w:ind w:right="9"/>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0 </w:t>
            </w:r>
          </w:p>
        </w:tc>
        <w:tc>
          <w:tcPr>
            <w:tcW w:w="708" w:type="dxa"/>
          </w:tcPr>
          <w:p w:rsidR="00FE5039" w:rsidRPr="003E3916" w:rsidRDefault="00FE5039" w:rsidP="00B03CC0">
            <w:pPr>
              <w:spacing w:line="259" w:lineRule="auto"/>
              <w:ind w:right="6"/>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1 </w:t>
            </w:r>
          </w:p>
        </w:tc>
        <w:tc>
          <w:tcPr>
            <w:tcW w:w="708" w:type="dxa"/>
          </w:tcPr>
          <w:p w:rsidR="00FE5039" w:rsidRPr="003E391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0 </w:t>
            </w:r>
          </w:p>
        </w:tc>
        <w:tc>
          <w:tcPr>
            <w:tcW w:w="721" w:type="dxa"/>
          </w:tcPr>
          <w:p w:rsidR="00FE5039" w:rsidRPr="003E3916" w:rsidRDefault="00FE5039" w:rsidP="00B03CC0">
            <w:pPr>
              <w:spacing w:line="259" w:lineRule="auto"/>
              <w:ind w:right="9"/>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1 </w:t>
            </w:r>
          </w:p>
        </w:tc>
        <w:tc>
          <w:tcPr>
            <w:tcW w:w="707" w:type="dxa"/>
          </w:tcPr>
          <w:p w:rsidR="00FE5039" w:rsidRPr="003E391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1 </w:t>
            </w:r>
          </w:p>
        </w:tc>
        <w:tc>
          <w:tcPr>
            <w:tcW w:w="709" w:type="dxa"/>
          </w:tcPr>
          <w:p w:rsidR="00FE5039" w:rsidRPr="003E391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0</w:t>
            </w:r>
          </w:p>
        </w:tc>
        <w:tc>
          <w:tcPr>
            <w:tcW w:w="708" w:type="dxa"/>
          </w:tcPr>
          <w:p w:rsidR="00FE5039" w:rsidRPr="00C272A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Pr>
                <w:sz w:val="18"/>
              </w:rPr>
              <w:t>1</w:t>
            </w:r>
          </w:p>
        </w:tc>
        <w:tc>
          <w:tcPr>
            <w:tcW w:w="708" w:type="dxa"/>
          </w:tcPr>
          <w:p w:rsidR="00FE5039" w:rsidRPr="002F1DF9"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Pr>
                <w:sz w:val="18"/>
              </w:rPr>
              <w:t>0</w:t>
            </w:r>
          </w:p>
        </w:tc>
        <w:tc>
          <w:tcPr>
            <w:tcW w:w="709" w:type="dxa"/>
          </w:tcPr>
          <w:p w:rsidR="00FE5039" w:rsidRPr="00E071EC"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Pr>
                <w:sz w:val="18"/>
              </w:rPr>
              <w:t>1</w:t>
            </w:r>
          </w:p>
        </w:tc>
        <w:tc>
          <w:tcPr>
            <w:tcW w:w="708" w:type="dxa"/>
          </w:tcPr>
          <w:p w:rsidR="00FE5039" w:rsidRPr="00321EE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lang w:val="sr-Cyrl-RS"/>
              </w:rPr>
            </w:pPr>
            <w:r>
              <w:rPr>
                <w:sz w:val="18"/>
                <w:lang w:val="sr-Cyrl-RS"/>
              </w:rPr>
              <w:t>0</w:t>
            </w:r>
          </w:p>
        </w:tc>
        <w:tc>
          <w:tcPr>
            <w:tcW w:w="991" w:type="dxa"/>
          </w:tcPr>
          <w:p w:rsidR="00FE5039" w:rsidRPr="00321EE6" w:rsidRDefault="00FE5039" w:rsidP="00B03CC0">
            <w:pPr>
              <w:spacing w:line="259" w:lineRule="auto"/>
              <w:ind w:right="5"/>
              <w:jc w:val="right"/>
              <w:cnfStyle w:val="000000010000" w:firstRow="0" w:lastRow="0" w:firstColumn="0" w:lastColumn="0" w:oddVBand="0" w:evenVBand="0" w:oddHBand="0" w:evenHBand="1" w:firstRowFirstColumn="0" w:firstRowLastColumn="0" w:lastRowFirstColumn="0" w:lastRowLastColumn="0"/>
              <w:rPr>
                <w:b/>
                <w:sz w:val="18"/>
                <w:lang w:val="sr-Cyrl-RS"/>
              </w:rPr>
            </w:pPr>
            <w:r>
              <w:rPr>
                <w:b/>
                <w:sz w:val="18"/>
                <w:lang w:val="sr-Cyrl-RS"/>
              </w:rPr>
              <w:t>5</w:t>
            </w:r>
          </w:p>
        </w:tc>
      </w:tr>
      <w:tr w:rsidR="00FE5039" w:rsidRPr="003E3916" w:rsidTr="00B03CC0">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2234" w:type="dxa"/>
          </w:tcPr>
          <w:p w:rsidR="00FE5039" w:rsidRPr="0043789C" w:rsidRDefault="00FE5039" w:rsidP="00B03CC0">
            <w:pPr>
              <w:spacing w:line="259" w:lineRule="auto"/>
              <w:jc w:val="right"/>
              <w:rPr>
                <w:sz w:val="18"/>
              </w:rPr>
            </w:pPr>
            <w:r w:rsidRPr="0043789C">
              <w:rPr>
                <w:sz w:val="18"/>
              </w:rPr>
              <w:t xml:space="preserve">Посластичарске радње </w:t>
            </w:r>
          </w:p>
        </w:tc>
        <w:tc>
          <w:tcPr>
            <w:tcW w:w="709" w:type="dxa"/>
          </w:tcPr>
          <w:p w:rsidR="00FE5039" w:rsidRPr="003E3916" w:rsidRDefault="00FE5039" w:rsidP="00B03CC0">
            <w:pPr>
              <w:spacing w:line="259" w:lineRule="auto"/>
              <w:ind w:right="9"/>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 xml:space="preserve">0 </w:t>
            </w:r>
          </w:p>
        </w:tc>
        <w:tc>
          <w:tcPr>
            <w:tcW w:w="708" w:type="dxa"/>
          </w:tcPr>
          <w:p w:rsidR="00FE5039" w:rsidRPr="003E3916" w:rsidRDefault="00FE5039" w:rsidP="00B03CC0">
            <w:pPr>
              <w:spacing w:line="259" w:lineRule="auto"/>
              <w:ind w:right="6"/>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 xml:space="preserve">0 </w:t>
            </w:r>
          </w:p>
        </w:tc>
        <w:tc>
          <w:tcPr>
            <w:tcW w:w="708" w:type="dxa"/>
          </w:tcPr>
          <w:p w:rsidR="00FE5039" w:rsidRPr="003E391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 xml:space="preserve">0 </w:t>
            </w:r>
          </w:p>
        </w:tc>
        <w:tc>
          <w:tcPr>
            <w:tcW w:w="721" w:type="dxa"/>
          </w:tcPr>
          <w:p w:rsidR="00FE5039" w:rsidRPr="003E3916" w:rsidRDefault="00FE5039" w:rsidP="00B03CC0">
            <w:pPr>
              <w:spacing w:line="259" w:lineRule="auto"/>
              <w:ind w:right="9"/>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 xml:space="preserve">0 </w:t>
            </w:r>
          </w:p>
        </w:tc>
        <w:tc>
          <w:tcPr>
            <w:tcW w:w="707" w:type="dxa"/>
          </w:tcPr>
          <w:p w:rsidR="00FE5039" w:rsidRPr="003E391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 xml:space="preserve">1 </w:t>
            </w:r>
          </w:p>
        </w:tc>
        <w:tc>
          <w:tcPr>
            <w:tcW w:w="709" w:type="dxa"/>
          </w:tcPr>
          <w:p w:rsidR="00FE5039" w:rsidRPr="003E391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0</w:t>
            </w:r>
          </w:p>
        </w:tc>
        <w:tc>
          <w:tcPr>
            <w:tcW w:w="708" w:type="dxa"/>
          </w:tcPr>
          <w:p w:rsidR="00FE5039" w:rsidRPr="00C272A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Pr>
                <w:sz w:val="18"/>
              </w:rPr>
              <w:t>0</w:t>
            </w:r>
          </w:p>
        </w:tc>
        <w:tc>
          <w:tcPr>
            <w:tcW w:w="708" w:type="dxa"/>
          </w:tcPr>
          <w:p w:rsidR="00FE5039" w:rsidRPr="002F1DF9"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sidRPr="002F1DF9">
              <w:rPr>
                <w:sz w:val="18"/>
              </w:rPr>
              <w:t>1</w:t>
            </w:r>
          </w:p>
        </w:tc>
        <w:tc>
          <w:tcPr>
            <w:tcW w:w="709" w:type="dxa"/>
          </w:tcPr>
          <w:p w:rsidR="00FE5039" w:rsidRPr="006B1E6C"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Pr>
                <w:sz w:val="18"/>
              </w:rPr>
              <w:t>0</w:t>
            </w:r>
          </w:p>
        </w:tc>
        <w:tc>
          <w:tcPr>
            <w:tcW w:w="708" w:type="dxa"/>
          </w:tcPr>
          <w:p w:rsidR="00FE5039" w:rsidRPr="00321EE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lang w:val="sr-Cyrl-RS"/>
              </w:rPr>
            </w:pPr>
            <w:r>
              <w:rPr>
                <w:sz w:val="18"/>
                <w:lang w:val="sr-Cyrl-RS"/>
              </w:rPr>
              <w:t>0</w:t>
            </w:r>
          </w:p>
        </w:tc>
        <w:tc>
          <w:tcPr>
            <w:tcW w:w="991" w:type="dxa"/>
          </w:tcPr>
          <w:p w:rsidR="00FE5039" w:rsidRPr="00321EE6" w:rsidRDefault="00FE5039" w:rsidP="00B03CC0">
            <w:pPr>
              <w:spacing w:line="259" w:lineRule="auto"/>
              <w:ind w:right="5"/>
              <w:jc w:val="right"/>
              <w:cnfStyle w:val="000000100000" w:firstRow="0" w:lastRow="0" w:firstColumn="0" w:lastColumn="0" w:oddVBand="0" w:evenVBand="0" w:oddHBand="1" w:evenHBand="0" w:firstRowFirstColumn="0" w:firstRowLastColumn="0" w:lastRowFirstColumn="0" w:lastRowLastColumn="0"/>
              <w:rPr>
                <w:b/>
                <w:sz w:val="18"/>
                <w:lang w:val="sr-Cyrl-RS"/>
              </w:rPr>
            </w:pPr>
            <w:r>
              <w:rPr>
                <w:b/>
                <w:sz w:val="18"/>
                <w:lang w:val="sr-Cyrl-RS"/>
              </w:rPr>
              <w:t>2</w:t>
            </w:r>
          </w:p>
        </w:tc>
      </w:tr>
      <w:tr w:rsidR="00FE5039" w:rsidRPr="003E3916" w:rsidTr="00B03CC0">
        <w:trPr>
          <w:cnfStyle w:val="000000010000" w:firstRow="0" w:lastRow="0" w:firstColumn="0" w:lastColumn="0" w:oddVBand="0" w:evenVBand="0" w:oddHBand="0" w:evenHBand="1" w:firstRowFirstColumn="0" w:firstRowLastColumn="0" w:lastRowFirstColumn="0" w:lastRowLastColumn="0"/>
          <w:trHeight w:val="499"/>
          <w:jc w:val="center"/>
        </w:trPr>
        <w:tc>
          <w:tcPr>
            <w:cnfStyle w:val="001000000000" w:firstRow="0" w:lastRow="0" w:firstColumn="1" w:lastColumn="0" w:oddVBand="0" w:evenVBand="0" w:oddHBand="0" w:evenHBand="0" w:firstRowFirstColumn="0" w:firstRowLastColumn="0" w:lastRowFirstColumn="0" w:lastRowLastColumn="0"/>
            <w:tcW w:w="2234" w:type="dxa"/>
          </w:tcPr>
          <w:p w:rsidR="00FE5039" w:rsidRPr="0043789C" w:rsidRDefault="00FE5039" w:rsidP="00B03CC0">
            <w:pPr>
              <w:spacing w:line="259" w:lineRule="auto"/>
              <w:jc w:val="right"/>
              <w:rPr>
                <w:sz w:val="18"/>
              </w:rPr>
            </w:pPr>
            <w:r w:rsidRPr="0043789C">
              <w:rPr>
                <w:sz w:val="18"/>
              </w:rPr>
              <w:t xml:space="preserve">Школске и предшколске кухиње </w:t>
            </w:r>
          </w:p>
        </w:tc>
        <w:tc>
          <w:tcPr>
            <w:tcW w:w="709" w:type="dxa"/>
          </w:tcPr>
          <w:p w:rsidR="00FE5039" w:rsidRPr="003E3916" w:rsidRDefault="00FE5039" w:rsidP="00B03CC0">
            <w:pPr>
              <w:spacing w:line="259" w:lineRule="auto"/>
              <w:ind w:right="9"/>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1 </w:t>
            </w:r>
          </w:p>
        </w:tc>
        <w:tc>
          <w:tcPr>
            <w:tcW w:w="708" w:type="dxa"/>
          </w:tcPr>
          <w:p w:rsidR="00FE5039" w:rsidRPr="003E3916" w:rsidRDefault="00FE5039" w:rsidP="00B03CC0">
            <w:pPr>
              <w:spacing w:line="259" w:lineRule="auto"/>
              <w:ind w:right="6"/>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0 </w:t>
            </w:r>
          </w:p>
        </w:tc>
        <w:tc>
          <w:tcPr>
            <w:tcW w:w="708" w:type="dxa"/>
          </w:tcPr>
          <w:p w:rsidR="00FE5039" w:rsidRPr="003E391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1 </w:t>
            </w:r>
          </w:p>
        </w:tc>
        <w:tc>
          <w:tcPr>
            <w:tcW w:w="721" w:type="dxa"/>
          </w:tcPr>
          <w:p w:rsidR="00FE5039" w:rsidRPr="003E3916" w:rsidRDefault="00FE5039" w:rsidP="00B03CC0">
            <w:pPr>
              <w:spacing w:line="259" w:lineRule="auto"/>
              <w:ind w:right="9"/>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0 </w:t>
            </w:r>
          </w:p>
        </w:tc>
        <w:tc>
          <w:tcPr>
            <w:tcW w:w="707" w:type="dxa"/>
          </w:tcPr>
          <w:p w:rsidR="00FE5039" w:rsidRPr="003E391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0 </w:t>
            </w:r>
          </w:p>
        </w:tc>
        <w:tc>
          <w:tcPr>
            <w:tcW w:w="709" w:type="dxa"/>
          </w:tcPr>
          <w:p w:rsidR="00FE5039" w:rsidRPr="003E391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0</w:t>
            </w:r>
          </w:p>
        </w:tc>
        <w:tc>
          <w:tcPr>
            <w:tcW w:w="708" w:type="dxa"/>
          </w:tcPr>
          <w:p w:rsidR="00FE5039" w:rsidRPr="00BF0482"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Pr>
                <w:sz w:val="18"/>
              </w:rPr>
              <w:t>3</w:t>
            </w:r>
          </w:p>
        </w:tc>
        <w:tc>
          <w:tcPr>
            <w:tcW w:w="708" w:type="dxa"/>
          </w:tcPr>
          <w:p w:rsidR="00FE5039" w:rsidRPr="002F1DF9"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sidRPr="002F1DF9">
              <w:rPr>
                <w:sz w:val="18"/>
              </w:rPr>
              <w:t>1</w:t>
            </w:r>
          </w:p>
        </w:tc>
        <w:tc>
          <w:tcPr>
            <w:tcW w:w="709" w:type="dxa"/>
          </w:tcPr>
          <w:p w:rsidR="00FE5039" w:rsidRPr="00C30482"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Pr>
                <w:sz w:val="18"/>
              </w:rPr>
              <w:t>2</w:t>
            </w:r>
          </w:p>
        </w:tc>
        <w:tc>
          <w:tcPr>
            <w:tcW w:w="708" w:type="dxa"/>
          </w:tcPr>
          <w:p w:rsidR="00FE5039" w:rsidRPr="00321EE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lang w:val="sr-Cyrl-RS"/>
              </w:rPr>
            </w:pPr>
            <w:r>
              <w:rPr>
                <w:sz w:val="18"/>
                <w:lang w:val="sr-Cyrl-RS"/>
              </w:rPr>
              <w:t>0</w:t>
            </w:r>
          </w:p>
        </w:tc>
        <w:tc>
          <w:tcPr>
            <w:tcW w:w="991" w:type="dxa"/>
          </w:tcPr>
          <w:p w:rsidR="00FE5039" w:rsidRPr="00321EE6" w:rsidRDefault="00FE5039" w:rsidP="00B03CC0">
            <w:pPr>
              <w:spacing w:line="259" w:lineRule="auto"/>
              <w:ind w:right="5"/>
              <w:jc w:val="right"/>
              <w:cnfStyle w:val="000000010000" w:firstRow="0" w:lastRow="0" w:firstColumn="0" w:lastColumn="0" w:oddVBand="0" w:evenVBand="0" w:oddHBand="0" w:evenHBand="1" w:firstRowFirstColumn="0" w:firstRowLastColumn="0" w:lastRowFirstColumn="0" w:lastRowLastColumn="0"/>
              <w:rPr>
                <w:b/>
                <w:sz w:val="18"/>
                <w:lang w:val="sr-Cyrl-RS"/>
              </w:rPr>
            </w:pPr>
            <w:r>
              <w:rPr>
                <w:b/>
                <w:sz w:val="18"/>
                <w:lang w:val="sr-Cyrl-RS"/>
              </w:rPr>
              <w:t>8</w:t>
            </w:r>
          </w:p>
        </w:tc>
      </w:tr>
      <w:tr w:rsidR="00FE5039" w:rsidRPr="003E3916" w:rsidTr="00B03CC0">
        <w:trPr>
          <w:cnfStyle w:val="000000100000" w:firstRow="0" w:lastRow="0" w:firstColumn="0" w:lastColumn="0" w:oddVBand="0" w:evenVBand="0" w:oddHBand="1" w:evenHBand="0" w:firstRowFirstColumn="0" w:firstRowLastColumn="0" w:lastRowFirstColumn="0" w:lastRowLastColumn="0"/>
          <w:trHeight w:val="252"/>
          <w:jc w:val="center"/>
        </w:trPr>
        <w:tc>
          <w:tcPr>
            <w:cnfStyle w:val="001000000000" w:firstRow="0" w:lastRow="0" w:firstColumn="1" w:lastColumn="0" w:oddVBand="0" w:evenVBand="0" w:oddHBand="0" w:evenHBand="0" w:firstRowFirstColumn="0" w:firstRowLastColumn="0" w:lastRowFirstColumn="0" w:lastRowLastColumn="0"/>
            <w:tcW w:w="2234" w:type="dxa"/>
          </w:tcPr>
          <w:p w:rsidR="00FE5039" w:rsidRPr="0043789C" w:rsidRDefault="00FE5039" w:rsidP="00B03CC0">
            <w:pPr>
              <w:spacing w:line="259" w:lineRule="auto"/>
              <w:jc w:val="right"/>
              <w:rPr>
                <w:sz w:val="18"/>
              </w:rPr>
            </w:pPr>
            <w:r w:rsidRPr="0043789C">
              <w:rPr>
                <w:sz w:val="18"/>
              </w:rPr>
              <w:t xml:space="preserve">Продавнице </w:t>
            </w:r>
          </w:p>
        </w:tc>
        <w:tc>
          <w:tcPr>
            <w:tcW w:w="709" w:type="dxa"/>
          </w:tcPr>
          <w:p w:rsidR="00FE5039" w:rsidRPr="003E3916" w:rsidRDefault="00FE5039" w:rsidP="00B03CC0">
            <w:pPr>
              <w:spacing w:line="259" w:lineRule="auto"/>
              <w:ind w:right="9"/>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 xml:space="preserve">1 </w:t>
            </w:r>
          </w:p>
        </w:tc>
        <w:tc>
          <w:tcPr>
            <w:tcW w:w="708" w:type="dxa"/>
          </w:tcPr>
          <w:p w:rsidR="00FE5039" w:rsidRPr="003E3916" w:rsidRDefault="00FE5039" w:rsidP="00B03CC0">
            <w:pPr>
              <w:spacing w:line="259" w:lineRule="auto"/>
              <w:ind w:right="6"/>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 xml:space="preserve">0 </w:t>
            </w:r>
          </w:p>
        </w:tc>
        <w:tc>
          <w:tcPr>
            <w:tcW w:w="708" w:type="dxa"/>
          </w:tcPr>
          <w:p w:rsidR="00FE5039" w:rsidRPr="003E391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 xml:space="preserve">0 </w:t>
            </w:r>
          </w:p>
        </w:tc>
        <w:tc>
          <w:tcPr>
            <w:tcW w:w="721" w:type="dxa"/>
          </w:tcPr>
          <w:p w:rsidR="00FE5039" w:rsidRPr="003E3916" w:rsidRDefault="00FE5039" w:rsidP="00B03CC0">
            <w:pPr>
              <w:spacing w:line="259" w:lineRule="auto"/>
              <w:ind w:right="9"/>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 xml:space="preserve">0 </w:t>
            </w:r>
          </w:p>
        </w:tc>
        <w:tc>
          <w:tcPr>
            <w:tcW w:w="707" w:type="dxa"/>
          </w:tcPr>
          <w:p w:rsidR="00FE5039" w:rsidRPr="003E391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 xml:space="preserve">0 </w:t>
            </w:r>
          </w:p>
        </w:tc>
        <w:tc>
          <w:tcPr>
            <w:tcW w:w="709" w:type="dxa"/>
          </w:tcPr>
          <w:p w:rsidR="00FE5039" w:rsidRPr="003E391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sidRPr="003E3916">
              <w:rPr>
                <w:sz w:val="18"/>
              </w:rPr>
              <w:t>1</w:t>
            </w:r>
          </w:p>
        </w:tc>
        <w:tc>
          <w:tcPr>
            <w:tcW w:w="708" w:type="dxa"/>
          </w:tcPr>
          <w:p w:rsidR="00FE5039" w:rsidRPr="00BF0482"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Pr>
                <w:sz w:val="18"/>
              </w:rPr>
              <w:t>0</w:t>
            </w:r>
          </w:p>
        </w:tc>
        <w:tc>
          <w:tcPr>
            <w:tcW w:w="708" w:type="dxa"/>
          </w:tcPr>
          <w:p w:rsidR="00FE5039" w:rsidRPr="002F1DF9"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sidRPr="002F1DF9">
              <w:rPr>
                <w:sz w:val="18"/>
              </w:rPr>
              <w:t>0</w:t>
            </w:r>
          </w:p>
        </w:tc>
        <w:tc>
          <w:tcPr>
            <w:tcW w:w="709" w:type="dxa"/>
          </w:tcPr>
          <w:p w:rsidR="00FE5039" w:rsidRPr="006B1E6C"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Pr>
                <w:sz w:val="18"/>
              </w:rPr>
              <w:t>0</w:t>
            </w:r>
          </w:p>
        </w:tc>
        <w:tc>
          <w:tcPr>
            <w:tcW w:w="708" w:type="dxa"/>
          </w:tcPr>
          <w:p w:rsidR="00FE5039" w:rsidRPr="00321EE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lang w:val="sr-Cyrl-RS"/>
              </w:rPr>
            </w:pPr>
            <w:r>
              <w:rPr>
                <w:sz w:val="18"/>
                <w:lang w:val="sr-Cyrl-RS"/>
              </w:rPr>
              <w:t>0</w:t>
            </w:r>
          </w:p>
        </w:tc>
        <w:tc>
          <w:tcPr>
            <w:tcW w:w="991" w:type="dxa"/>
          </w:tcPr>
          <w:p w:rsidR="00FE5039" w:rsidRPr="00321EE6" w:rsidRDefault="00FE5039" w:rsidP="00B03CC0">
            <w:pPr>
              <w:spacing w:line="259" w:lineRule="auto"/>
              <w:ind w:right="5"/>
              <w:jc w:val="right"/>
              <w:cnfStyle w:val="000000100000" w:firstRow="0" w:lastRow="0" w:firstColumn="0" w:lastColumn="0" w:oddVBand="0" w:evenVBand="0" w:oddHBand="1" w:evenHBand="0" w:firstRowFirstColumn="0" w:firstRowLastColumn="0" w:lastRowFirstColumn="0" w:lastRowLastColumn="0"/>
              <w:rPr>
                <w:b/>
                <w:sz w:val="18"/>
                <w:lang w:val="sr-Cyrl-RS"/>
              </w:rPr>
            </w:pPr>
            <w:r>
              <w:rPr>
                <w:b/>
                <w:sz w:val="18"/>
                <w:lang w:val="sr-Cyrl-RS"/>
              </w:rPr>
              <w:t>2</w:t>
            </w:r>
          </w:p>
        </w:tc>
      </w:tr>
      <w:tr w:rsidR="00FE5039" w:rsidRPr="003E3916"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2234" w:type="dxa"/>
          </w:tcPr>
          <w:p w:rsidR="00FE5039" w:rsidRPr="0043789C" w:rsidRDefault="00FE5039" w:rsidP="00B03CC0">
            <w:pPr>
              <w:spacing w:line="259" w:lineRule="auto"/>
              <w:jc w:val="right"/>
              <w:rPr>
                <w:sz w:val="18"/>
              </w:rPr>
            </w:pPr>
            <w:r w:rsidRPr="0043789C">
              <w:rPr>
                <w:sz w:val="18"/>
              </w:rPr>
              <w:t xml:space="preserve">Остало </w:t>
            </w:r>
          </w:p>
        </w:tc>
        <w:tc>
          <w:tcPr>
            <w:tcW w:w="709" w:type="dxa"/>
          </w:tcPr>
          <w:p w:rsidR="00FE5039" w:rsidRPr="003E3916" w:rsidRDefault="00FE5039" w:rsidP="00B03CC0">
            <w:pPr>
              <w:spacing w:line="259" w:lineRule="auto"/>
              <w:ind w:right="9"/>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1 </w:t>
            </w:r>
          </w:p>
        </w:tc>
        <w:tc>
          <w:tcPr>
            <w:tcW w:w="708" w:type="dxa"/>
          </w:tcPr>
          <w:p w:rsidR="00FE5039" w:rsidRPr="003E3916" w:rsidRDefault="00FE5039" w:rsidP="00B03CC0">
            <w:pPr>
              <w:spacing w:line="259" w:lineRule="auto"/>
              <w:ind w:right="6"/>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2 </w:t>
            </w:r>
          </w:p>
        </w:tc>
        <w:tc>
          <w:tcPr>
            <w:tcW w:w="708" w:type="dxa"/>
          </w:tcPr>
          <w:p w:rsidR="00FE5039" w:rsidRPr="003E391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1 </w:t>
            </w:r>
          </w:p>
        </w:tc>
        <w:tc>
          <w:tcPr>
            <w:tcW w:w="721" w:type="dxa"/>
          </w:tcPr>
          <w:p w:rsidR="00FE5039" w:rsidRPr="003E3916" w:rsidRDefault="00FE5039" w:rsidP="00B03CC0">
            <w:pPr>
              <w:spacing w:line="259" w:lineRule="auto"/>
              <w:ind w:right="9"/>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0 </w:t>
            </w:r>
          </w:p>
        </w:tc>
        <w:tc>
          <w:tcPr>
            <w:tcW w:w="707" w:type="dxa"/>
          </w:tcPr>
          <w:p w:rsidR="00FE5039" w:rsidRPr="003E391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 xml:space="preserve">4 </w:t>
            </w:r>
          </w:p>
        </w:tc>
        <w:tc>
          <w:tcPr>
            <w:tcW w:w="709" w:type="dxa"/>
          </w:tcPr>
          <w:p w:rsidR="00FE5039" w:rsidRPr="003E391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sidRPr="003E3916">
              <w:rPr>
                <w:sz w:val="18"/>
              </w:rPr>
              <w:t>1</w:t>
            </w:r>
          </w:p>
        </w:tc>
        <w:tc>
          <w:tcPr>
            <w:tcW w:w="708" w:type="dxa"/>
          </w:tcPr>
          <w:p w:rsidR="00FE5039" w:rsidRPr="00D27344"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Pr>
                <w:sz w:val="18"/>
              </w:rPr>
              <w:t>2</w:t>
            </w:r>
          </w:p>
        </w:tc>
        <w:tc>
          <w:tcPr>
            <w:tcW w:w="708" w:type="dxa"/>
          </w:tcPr>
          <w:p w:rsidR="00FE5039" w:rsidRPr="002F1DF9"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sidRPr="002F1DF9">
              <w:rPr>
                <w:sz w:val="18"/>
              </w:rPr>
              <w:t>1</w:t>
            </w:r>
          </w:p>
        </w:tc>
        <w:tc>
          <w:tcPr>
            <w:tcW w:w="709" w:type="dxa"/>
          </w:tcPr>
          <w:p w:rsidR="00FE5039" w:rsidRPr="006B1E6C"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rPr>
            </w:pPr>
            <w:r>
              <w:rPr>
                <w:sz w:val="18"/>
              </w:rPr>
              <w:t>0</w:t>
            </w:r>
          </w:p>
        </w:tc>
        <w:tc>
          <w:tcPr>
            <w:tcW w:w="708" w:type="dxa"/>
          </w:tcPr>
          <w:p w:rsidR="00FE5039" w:rsidRPr="00321EE6" w:rsidRDefault="00FE5039" w:rsidP="00B03CC0">
            <w:pPr>
              <w:spacing w:line="259" w:lineRule="auto"/>
              <w:ind w:right="8"/>
              <w:jc w:val="right"/>
              <w:cnfStyle w:val="000000010000" w:firstRow="0" w:lastRow="0" w:firstColumn="0" w:lastColumn="0" w:oddVBand="0" w:evenVBand="0" w:oddHBand="0" w:evenHBand="1" w:firstRowFirstColumn="0" w:firstRowLastColumn="0" w:lastRowFirstColumn="0" w:lastRowLastColumn="0"/>
              <w:rPr>
                <w:sz w:val="18"/>
                <w:lang w:val="sr-Cyrl-RS"/>
              </w:rPr>
            </w:pPr>
            <w:r>
              <w:rPr>
                <w:sz w:val="18"/>
                <w:lang w:val="sr-Cyrl-RS"/>
              </w:rPr>
              <w:t>1</w:t>
            </w:r>
          </w:p>
        </w:tc>
        <w:tc>
          <w:tcPr>
            <w:tcW w:w="991" w:type="dxa"/>
          </w:tcPr>
          <w:p w:rsidR="00FE5039" w:rsidRPr="00321EE6" w:rsidRDefault="00FE5039" w:rsidP="00B03CC0">
            <w:pPr>
              <w:spacing w:line="259" w:lineRule="auto"/>
              <w:ind w:right="5"/>
              <w:jc w:val="right"/>
              <w:cnfStyle w:val="000000010000" w:firstRow="0" w:lastRow="0" w:firstColumn="0" w:lastColumn="0" w:oddVBand="0" w:evenVBand="0" w:oddHBand="0" w:evenHBand="1" w:firstRowFirstColumn="0" w:firstRowLastColumn="0" w:lastRowFirstColumn="0" w:lastRowLastColumn="0"/>
              <w:rPr>
                <w:b/>
                <w:sz w:val="18"/>
                <w:lang w:val="sr-Cyrl-RS"/>
              </w:rPr>
            </w:pPr>
            <w:r>
              <w:rPr>
                <w:b/>
                <w:sz w:val="18"/>
                <w:lang w:val="sr-Cyrl-RS"/>
              </w:rPr>
              <w:t>12</w:t>
            </w:r>
          </w:p>
        </w:tc>
      </w:tr>
      <w:tr w:rsidR="00FE5039" w:rsidRPr="003E3916" w:rsidTr="00B03CC0">
        <w:trPr>
          <w:cnfStyle w:val="000000100000" w:firstRow="0" w:lastRow="0" w:firstColumn="0" w:lastColumn="0" w:oddVBand="0" w:evenVBand="0" w:oddHBand="1" w:evenHBand="0" w:firstRowFirstColumn="0" w:firstRowLastColumn="0" w:lastRowFirstColumn="0" w:lastRowLastColumn="0"/>
          <w:trHeight w:val="267"/>
          <w:jc w:val="center"/>
        </w:trPr>
        <w:tc>
          <w:tcPr>
            <w:cnfStyle w:val="001000000000" w:firstRow="0" w:lastRow="0" w:firstColumn="1" w:lastColumn="0" w:oddVBand="0" w:evenVBand="0" w:oddHBand="0" w:evenHBand="0" w:firstRowFirstColumn="0" w:firstRowLastColumn="0" w:lastRowFirstColumn="0" w:lastRowLastColumn="0"/>
            <w:tcW w:w="2234" w:type="dxa"/>
          </w:tcPr>
          <w:p w:rsidR="00FE5039" w:rsidRPr="003E3916" w:rsidRDefault="00FE5039" w:rsidP="00B03CC0">
            <w:pPr>
              <w:spacing w:line="259" w:lineRule="auto"/>
              <w:jc w:val="right"/>
              <w:rPr>
                <w:i w:val="0"/>
                <w:sz w:val="18"/>
              </w:rPr>
            </w:pPr>
            <w:r w:rsidRPr="003E3916">
              <w:rPr>
                <w:b/>
                <w:i w:val="0"/>
                <w:sz w:val="18"/>
              </w:rPr>
              <w:t xml:space="preserve">Укупно </w:t>
            </w:r>
          </w:p>
        </w:tc>
        <w:tc>
          <w:tcPr>
            <w:tcW w:w="709" w:type="dxa"/>
          </w:tcPr>
          <w:p w:rsidR="00FE5039" w:rsidRPr="003E3916" w:rsidRDefault="00FE5039" w:rsidP="00B03CC0">
            <w:pPr>
              <w:spacing w:line="259" w:lineRule="auto"/>
              <w:ind w:right="9"/>
              <w:jc w:val="right"/>
              <w:cnfStyle w:val="000000100000" w:firstRow="0" w:lastRow="0" w:firstColumn="0" w:lastColumn="0" w:oddVBand="0" w:evenVBand="0" w:oddHBand="1" w:evenHBand="0" w:firstRowFirstColumn="0" w:firstRowLastColumn="0" w:lastRowFirstColumn="0" w:lastRowLastColumn="0"/>
              <w:rPr>
                <w:sz w:val="18"/>
              </w:rPr>
            </w:pPr>
            <w:r w:rsidRPr="003E3916">
              <w:rPr>
                <w:b/>
                <w:sz w:val="18"/>
              </w:rPr>
              <w:t xml:space="preserve">49 </w:t>
            </w:r>
          </w:p>
        </w:tc>
        <w:tc>
          <w:tcPr>
            <w:tcW w:w="708" w:type="dxa"/>
          </w:tcPr>
          <w:p w:rsidR="00FE5039" w:rsidRPr="003E3916" w:rsidRDefault="00FE5039" w:rsidP="00B03CC0">
            <w:pPr>
              <w:spacing w:line="259" w:lineRule="auto"/>
              <w:ind w:right="6"/>
              <w:jc w:val="right"/>
              <w:cnfStyle w:val="000000100000" w:firstRow="0" w:lastRow="0" w:firstColumn="0" w:lastColumn="0" w:oddVBand="0" w:evenVBand="0" w:oddHBand="1" w:evenHBand="0" w:firstRowFirstColumn="0" w:firstRowLastColumn="0" w:lastRowFirstColumn="0" w:lastRowLastColumn="0"/>
              <w:rPr>
                <w:sz w:val="18"/>
              </w:rPr>
            </w:pPr>
            <w:r w:rsidRPr="003E3916">
              <w:rPr>
                <w:b/>
                <w:sz w:val="18"/>
              </w:rPr>
              <w:t xml:space="preserve">31 </w:t>
            </w:r>
          </w:p>
        </w:tc>
        <w:tc>
          <w:tcPr>
            <w:tcW w:w="708" w:type="dxa"/>
          </w:tcPr>
          <w:p w:rsidR="00FE5039" w:rsidRPr="003E391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sidRPr="003E3916">
              <w:rPr>
                <w:b/>
                <w:sz w:val="18"/>
              </w:rPr>
              <w:t xml:space="preserve">39 </w:t>
            </w:r>
          </w:p>
        </w:tc>
        <w:tc>
          <w:tcPr>
            <w:tcW w:w="721" w:type="dxa"/>
          </w:tcPr>
          <w:p w:rsidR="00FE5039" w:rsidRPr="003E3916" w:rsidRDefault="00FE5039" w:rsidP="00B03CC0">
            <w:pPr>
              <w:spacing w:line="259" w:lineRule="auto"/>
              <w:ind w:right="9"/>
              <w:jc w:val="right"/>
              <w:cnfStyle w:val="000000100000" w:firstRow="0" w:lastRow="0" w:firstColumn="0" w:lastColumn="0" w:oddVBand="0" w:evenVBand="0" w:oddHBand="1" w:evenHBand="0" w:firstRowFirstColumn="0" w:firstRowLastColumn="0" w:lastRowFirstColumn="0" w:lastRowLastColumn="0"/>
              <w:rPr>
                <w:sz w:val="18"/>
              </w:rPr>
            </w:pPr>
            <w:r w:rsidRPr="003E3916">
              <w:rPr>
                <w:b/>
                <w:sz w:val="18"/>
              </w:rPr>
              <w:t xml:space="preserve">29 </w:t>
            </w:r>
          </w:p>
        </w:tc>
        <w:tc>
          <w:tcPr>
            <w:tcW w:w="707" w:type="dxa"/>
          </w:tcPr>
          <w:p w:rsidR="00FE5039" w:rsidRPr="003E391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sz w:val="18"/>
              </w:rPr>
            </w:pPr>
            <w:r w:rsidRPr="003E3916">
              <w:rPr>
                <w:b/>
                <w:sz w:val="18"/>
              </w:rPr>
              <w:t xml:space="preserve">23 </w:t>
            </w:r>
          </w:p>
        </w:tc>
        <w:tc>
          <w:tcPr>
            <w:tcW w:w="709" w:type="dxa"/>
          </w:tcPr>
          <w:p w:rsidR="00FE5039" w:rsidRPr="003E391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b/>
                <w:sz w:val="18"/>
              </w:rPr>
            </w:pPr>
            <w:r w:rsidRPr="003E3916">
              <w:rPr>
                <w:b/>
                <w:sz w:val="18"/>
              </w:rPr>
              <w:t>33</w:t>
            </w:r>
          </w:p>
        </w:tc>
        <w:tc>
          <w:tcPr>
            <w:tcW w:w="708" w:type="dxa"/>
          </w:tcPr>
          <w:p w:rsidR="00FE5039" w:rsidRPr="00B05EAA"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b/>
                <w:sz w:val="18"/>
              </w:rPr>
            </w:pPr>
            <w:r>
              <w:rPr>
                <w:b/>
                <w:sz w:val="18"/>
              </w:rPr>
              <w:t>24</w:t>
            </w:r>
          </w:p>
        </w:tc>
        <w:tc>
          <w:tcPr>
            <w:tcW w:w="708" w:type="dxa"/>
          </w:tcPr>
          <w:p w:rsidR="00FE5039" w:rsidRPr="002F1DF9"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b/>
                <w:sz w:val="18"/>
              </w:rPr>
            </w:pPr>
            <w:r w:rsidRPr="002F1DF9">
              <w:rPr>
                <w:b/>
                <w:sz w:val="18"/>
              </w:rPr>
              <w:t>30</w:t>
            </w:r>
          </w:p>
        </w:tc>
        <w:tc>
          <w:tcPr>
            <w:tcW w:w="709" w:type="dxa"/>
          </w:tcPr>
          <w:p w:rsidR="00FE5039" w:rsidRPr="00E071EC"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b/>
                <w:sz w:val="18"/>
              </w:rPr>
            </w:pPr>
            <w:r w:rsidRPr="00C30482">
              <w:rPr>
                <w:b/>
                <w:sz w:val="18"/>
              </w:rPr>
              <w:t>2</w:t>
            </w:r>
            <w:r>
              <w:rPr>
                <w:b/>
                <w:sz w:val="18"/>
              </w:rPr>
              <w:t>2</w:t>
            </w:r>
          </w:p>
        </w:tc>
        <w:tc>
          <w:tcPr>
            <w:tcW w:w="708" w:type="dxa"/>
          </w:tcPr>
          <w:p w:rsidR="00FE5039" w:rsidRPr="00321EE6" w:rsidRDefault="00FE5039" w:rsidP="00B03CC0">
            <w:pPr>
              <w:spacing w:line="259" w:lineRule="auto"/>
              <w:ind w:right="8"/>
              <w:jc w:val="right"/>
              <w:cnfStyle w:val="000000100000" w:firstRow="0" w:lastRow="0" w:firstColumn="0" w:lastColumn="0" w:oddVBand="0" w:evenVBand="0" w:oddHBand="1" w:evenHBand="0" w:firstRowFirstColumn="0" w:firstRowLastColumn="0" w:lastRowFirstColumn="0" w:lastRowLastColumn="0"/>
              <w:rPr>
                <w:b/>
                <w:sz w:val="18"/>
                <w:lang w:val="sr-Cyrl-RS"/>
              </w:rPr>
            </w:pPr>
            <w:r>
              <w:rPr>
                <w:b/>
                <w:sz w:val="18"/>
                <w:lang w:val="sr-Cyrl-RS"/>
              </w:rPr>
              <w:t>13</w:t>
            </w:r>
          </w:p>
        </w:tc>
        <w:tc>
          <w:tcPr>
            <w:tcW w:w="991" w:type="dxa"/>
          </w:tcPr>
          <w:p w:rsidR="00FE5039" w:rsidRPr="00321EE6" w:rsidRDefault="00FE5039" w:rsidP="00B03CC0">
            <w:pPr>
              <w:spacing w:line="259" w:lineRule="auto"/>
              <w:ind w:right="10"/>
              <w:jc w:val="right"/>
              <w:cnfStyle w:val="000000100000" w:firstRow="0" w:lastRow="0" w:firstColumn="0" w:lastColumn="0" w:oddVBand="0" w:evenVBand="0" w:oddHBand="1" w:evenHBand="0" w:firstRowFirstColumn="0" w:firstRowLastColumn="0" w:lastRowFirstColumn="0" w:lastRowLastColumn="0"/>
              <w:rPr>
                <w:b/>
                <w:sz w:val="18"/>
                <w:lang w:val="sr-Cyrl-RS"/>
              </w:rPr>
            </w:pPr>
            <w:r>
              <w:rPr>
                <w:b/>
                <w:sz w:val="18"/>
                <w:lang w:val="sr-Cyrl-RS"/>
              </w:rPr>
              <w:t>293</w:t>
            </w:r>
          </w:p>
        </w:tc>
      </w:tr>
    </w:tbl>
    <w:p w:rsidR="00FE5039" w:rsidRDefault="00FE5039" w:rsidP="00B03CC0"/>
    <w:p w:rsidR="00FE5039" w:rsidRDefault="00FE5039" w:rsidP="009D6623">
      <w:pPr>
        <w:spacing w:line="276" w:lineRule="auto"/>
      </w:pPr>
      <w:r w:rsidRPr="00194719">
        <w:t>На основу резултата истраживања епидемија, водеће место у алиментарни</w:t>
      </w:r>
      <w:r>
        <w:t>м</w:t>
      </w:r>
      <w:r w:rsidRPr="00194719">
        <w:t xml:space="preserve"> епидемија</w:t>
      </w:r>
      <w:r>
        <w:t>ма</w:t>
      </w:r>
      <w:r w:rsidRPr="00194719">
        <w:t xml:space="preserve"> имају примарно контаминиране намирнице животињског порекла (јаја, месо)</w:t>
      </w:r>
      <w:r>
        <w:t xml:space="preserve">. </w:t>
      </w:r>
      <w:r>
        <w:rPr>
          <w:lang w:val="sr-Cyrl-RS"/>
        </w:rPr>
        <w:t xml:space="preserve">Најчешћи узрочник </w:t>
      </w:r>
      <w:r>
        <w:t xml:space="preserve">ових епидемија </w:t>
      </w:r>
      <w:r>
        <w:rPr>
          <w:lang w:val="sr-Cyrl-RS"/>
        </w:rPr>
        <w:t>је била бактерија из рода</w:t>
      </w:r>
      <w:r>
        <w:t xml:space="preserve"> Salmonellae</w:t>
      </w:r>
      <w:r w:rsidRPr="00342049">
        <w:t>Алиментарне епидемије су</w:t>
      </w:r>
      <w:r w:rsidR="009D6623">
        <w:rPr>
          <w:lang w:val="sr-Cyrl-RS"/>
        </w:rPr>
        <w:t xml:space="preserve"> најчешће</w:t>
      </w:r>
      <w:r w:rsidRPr="00342049">
        <w:t xml:space="preserve"> откривене у породицама и другим колективима</w:t>
      </w:r>
      <w:r w:rsidRPr="00342049">
        <w:rPr>
          <w:lang w:val="sr-Cyrl-RS"/>
        </w:rPr>
        <w:t xml:space="preserve">, </w:t>
      </w:r>
      <w:r w:rsidRPr="00342049">
        <w:t xml:space="preserve">у којима су </w:t>
      </w:r>
      <w:r>
        <w:t>оболели конзумирали</w:t>
      </w:r>
      <w:r w:rsidRPr="00342049">
        <w:t xml:space="preserve"> намирнице из јавног промета (угоститељски објекти брзе хране).</w:t>
      </w:r>
    </w:p>
    <w:p w:rsidR="00FE5039" w:rsidRPr="009254FB" w:rsidRDefault="00FE5039" w:rsidP="00B03CC0">
      <w:pPr>
        <w:pStyle w:val="Heading3"/>
        <w:rPr>
          <w:b/>
          <w:color w:val="auto"/>
        </w:rPr>
      </w:pPr>
      <w:bookmarkStart w:id="22" w:name="_Toc389134523"/>
      <w:bookmarkStart w:id="23" w:name="_Toc515520360"/>
      <w:bookmarkStart w:id="24" w:name="_Toc515524202"/>
      <w:r w:rsidRPr="009254FB">
        <w:rPr>
          <w:b/>
          <w:color w:val="auto"/>
        </w:rPr>
        <w:t>Salmonellosis</w:t>
      </w:r>
      <w:bookmarkEnd w:id="22"/>
      <w:bookmarkEnd w:id="23"/>
      <w:bookmarkEnd w:id="24"/>
      <w:r w:rsidRPr="009254FB">
        <w:rPr>
          <w:b/>
          <w:color w:val="auto"/>
        </w:rPr>
        <w:t xml:space="preserve"> </w:t>
      </w:r>
    </w:p>
    <w:p w:rsidR="00FE5039" w:rsidRPr="00E630DF" w:rsidRDefault="00FE5039" w:rsidP="00B03CC0">
      <w:pPr>
        <w:spacing w:line="276" w:lineRule="auto"/>
      </w:pPr>
      <w:r w:rsidRPr="0033472F">
        <w:t xml:space="preserve">Број пријављених епидемија алиментарних токсиинфекција изазваних анималним салмонелама у посматраном </w:t>
      </w:r>
      <w:r w:rsidRPr="0066204A">
        <w:t>десетогодишњем периоду у АП Војводини</w:t>
      </w:r>
      <w:r>
        <w:t xml:space="preserve"> налази се у распону од 7 (2017</w:t>
      </w:r>
      <w:r w:rsidRPr="0066204A">
        <w:t xml:space="preserve">.године) до </w:t>
      </w:r>
      <w:r>
        <w:t>21 (2011</w:t>
      </w:r>
      <w:r w:rsidRPr="0066204A">
        <w:t xml:space="preserve">. године). Број оболелих </w:t>
      </w:r>
      <w:r>
        <w:t>у епидемијама у просеку чини 1</w:t>
      </w:r>
      <w:r w:rsidRPr="0066204A">
        <w:t>7</w:t>
      </w:r>
      <w:r>
        <w:t>,7</w:t>
      </w:r>
      <w:r w:rsidRPr="0066204A">
        <w:t>% свих регистрованих случајева овог обољења (</w:t>
      </w:r>
      <w:r w:rsidRPr="0066204A">
        <w:rPr>
          <w:i/>
        </w:rPr>
        <w:t xml:space="preserve"> </w:t>
      </w:r>
      <w:r w:rsidRPr="0066204A">
        <w:t>табела</w:t>
      </w:r>
      <w:r w:rsidRPr="0066204A">
        <w:rPr>
          <w:i/>
        </w:rPr>
        <w:t xml:space="preserve"> </w:t>
      </w:r>
      <w:r w:rsidR="00073649">
        <w:rPr>
          <w:i/>
        </w:rPr>
        <w:t>9</w:t>
      </w:r>
      <w:r w:rsidRPr="0066204A">
        <w:t>).</w:t>
      </w:r>
      <w:r>
        <w:t xml:space="preserve"> </w:t>
      </w:r>
    </w:p>
    <w:p w:rsidR="00212B95" w:rsidRDefault="00212B95" w:rsidP="00B03CC0">
      <w:pPr>
        <w:pStyle w:val="Caption"/>
        <w:spacing w:after="160"/>
      </w:pPr>
    </w:p>
    <w:p w:rsidR="00212B95" w:rsidRDefault="00212B95" w:rsidP="00B03CC0">
      <w:pPr>
        <w:pStyle w:val="Caption"/>
        <w:spacing w:after="160"/>
      </w:pPr>
    </w:p>
    <w:p w:rsidR="00212B95" w:rsidRDefault="00212B95" w:rsidP="00B03CC0">
      <w:pPr>
        <w:pStyle w:val="Caption"/>
        <w:spacing w:after="160"/>
      </w:pPr>
    </w:p>
    <w:p w:rsidR="00FE5039" w:rsidRDefault="00073649" w:rsidP="00B03CC0">
      <w:pPr>
        <w:pStyle w:val="Caption"/>
        <w:spacing w:after="160"/>
      </w:pPr>
      <w:r>
        <w:lastRenderedPageBreak/>
        <w:t>Табела 9</w:t>
      </w:r>
      <w:r w:rsidR="00FE5039">
        <w:t>.</w:t>
      </w:r>
      <w:r w:rsidR="00FE5039" w:rsidRPr="00E630DF">
        <w:t xml:space="preserve"> Епидемије salmonellos</w:t>
      </w:r>
      <w:r w:rsidR="00FE5039">
        <w:t>is у АП Војводини у периоду од 2008. до 2017. г</w:t>
      </w:r>
      <w:r w:rsidR="00FE5039" w:rsidRPr="00E630DF">
        <w:t>один</w:t>
      </w:r>
      <w:r w:rsidR="00FE5039">
        <w:t>е</w:t>
      </w:r>
      <w:r w:rsidR="00FE5039" w:rsidRPr="00E630DF">
        <w:t xml:space="preserve"> </w:t>
      </w:r>
    </w:p>
    <w:tbl>
      <w:tblPr>
        <w:tblStyle w:val="PlainTable51"/>
        <w:tblW w:w="7371" w:type="dxa"/>
        <w:jc w:val="center"/>
        <w:tblBorders>
          <w:right w:val="single" w:sz="4" w:space="0" w:color="FFFFFF" w:themeColor="background1"/>
        </w:tblBorders>
        <w:tblLook w:val="04A0" w:firstRow="1" w:lastRow="0" w:firstColumn="1" w:lastColumn="0" w:noHBand="0" w:noVBand="1"/>
      </w:tblPr>
      <w:tblGrid>
        <w:gridCol w:w="1208"/>
        <w:gridCol w:w="1344"/>
        <w:gridCol w:w="1595"/>
        <w:gridCol w:w="1631"/>
        <w:gridCol w:w="1593"/>
      </w:tblGrid>
      <w:tr w:rsidR="00FE5039" w:rsidRPr="003E3916" w:rsidTr="003E3916">
        <w:trPr>
          <w:cnfStyle w:val="100000000000" w:firstRow="1" w:lastRow="0" w:firstColumn="0" w:lastColumn="0" w:oddVBand="0" w:evenVBand="0" w:oddHBand="0" w:evenHBand="0" w:firstRowFirstColumn="0" w:firstRowLastColumn="0" w:lastRowFirstColumn="0" w:lastRowLastColumn="0"/>
          <w:trHeight w:val="274"/>
          <w:jc w:val="center"/>
        </w:trPr>
        <w:tc>
          <w:tcPr>
            <w:cnfStyle w:val="001000000100" w:firstRow="0" w:lastRow="0" w:firstColumn="1" w:lastColumn="0" w:oddVBand="0" w:evenVBand="0" w:oddHBand="0" w:evenHBand="0" w:firstRowFirstColumn="1" w:firstRowLastColumn="0" w:lastRowFirstColumn="0" w:lastRowLastColumn="0"/>
            <w:tcW w:w="1208" w:type="dxa"/>
            <w:tcBorders>
              <w:right w:val="single" w:sz="4" w:space="0" w:color="FFFFFF" w:themeColor="background1"/>
            </w:tcBorders>
          </w:tcPr>
          <w:p w:rsidR="00FE5039" w:rsidRPr="003E3916" w:rsidRDefault="00FE5039" w:rsidP="00160B90">
            <w:pPr>
              <w:spacing w:line="259" w:lineRule="auto"/>
              <w:jc w:val="right"/>
              <w:rPr>
                <w:i w:val="0"/>
              </w:rPr>
            </w:pPr>
            <w:r w:rsidRPr="003E3916">
              <w:rPr>
                <w:i w:val="0"/>
                <w:color w:val="FFFFFF"/>
              </w:rPr>
              <w:t xml:space="preserve">Година </w:t>
            </w:r>
          </w:p>
        </w:tc>
        <w:tc>
          <w:tcPr>
            <w:tcW w:w="1344" w:type="dxa"/>
            <w:tcBorders>
              <w:left w:val="single" w:sz="4" w:space="0" w:color="FFFFFF" w:themeColor="background1"/>
            </w:tcBorders>
          </w:tcPr>
          <w:p w:rsidR="00FE5039" w:rsidRPr="003E3916" w:rsidRDefault="00FE5039" w:rsidP="00160B90">
            <w:pPr>
              <w:spacing w:line="259" w:lineRule="auto"/>
              <w:ind w:left="1"/>
              <w:jc w:val="right"/>
              <w:cnfStyle w:val="100000000000" w:firstRow="1" w:lastRow="0" w:firstColumn="0" w:lastColumn="0" w:oddVBand="0" w:evenVBand="0" w:oddHBand="0" w:evenHBand="0" w:firstRowFirstColumn="0" w:firstRowLastColumn="0" w:lastRowFirstColumn="0" w:lastRowLastColumn="0"/>
              <w:rPr>
                <w:i w:val="0"/>
                <w:color w:val="FFFFFF"/>
              </w:rPr>
            </w:pPr>
            <w:r w:rsidRPr="003E3916">
              <w:rPr>
                <w:i w:val="0"/>
                <w:color w:val="FFFFFF"/>
              </w:rPr>
              <w:t>Број оболелих</w:t>
            </w:r>
          </w:p>
        </w:tc>
        <w:tc>
          <w:tcPr>
            <w:tcW w:w="1595" w:type="dxa"/>
          </w:tcPr>
          <w:p w:rsidR="00FE5039" w:rsidRPr="003E3916" w:rsidRDefault="00FE5039" w:rsidP="00160B90">
            <w:pPr>
              <w:spacing w:line="259" w:lineRule="auto"/>
              <w:ind w:left="1"/>
              <w:jc w:val="right"/>
              <w:cnfStyle w:val="100000000000" w:firstRow="1" w:lastRow="0" w:firstColumn="0" w:lastColumn="0" w:oddVBand="0" w:evenVBand="0" w:oddHBand="0" w:evenHBand="0" w:firstRowFirstColumn="0" w:firstRowLastColumn="0" w:lastRowFirstColumn="0" w:lastRowLastColumn="0"/>
              <w:rPr>
                <w:i w:val="0"/>
              </w:rPr>
            </w:pPr>
            <w:r w:rsidRPr="003E3916">
              <w:rPr>
                <w:i w:val="0"/>
                <w:color w:val="FFFFFF"/>
              </w:rPr>
              <w:t xml:space="preserve">Број епидемија </w:t>
            </w:r>
          </w:p>
        </w:tc>
        <w:tc>
          <w:tcPr>
            <w:tcW w:w="1631" w:type="dxa"/>
          </w:tcPr>
          <w:p w:rsidR="00FE5039" w:rsidRPr="003E3916" w:rsidRDefault="00FE5039" w:rsidP="00160B90">
            <w:pPr>
              <w:spacing w:line="259" w:lineRule="auto"/>
              <w:ind w:left="1"/>
              <w:jc w:val="right"/>
              <w:cnfStyle w:val="100000000000" w:firstRow="1" w:lastRow="0" w:firstColumn="0" w:lastColumn="0" w:oddVBand="0" w:evenVBand="0" w:oddHBand="0" w:evenHBand="0" w:firstRowFirstColumn="0" w:firstRowLastColumn="0" w:lastRowFirstColumn="0" w:lastRowLastColumn="0"/>
              <w:rPr>
                <w:i w:val="0"/>
              </w:rPr>
            </w:pPr>
            <w:r w:rsidRPr="003E3916">
              <w:rPr>
                <w:i w:val="0"/>
                <w:color w:val="FFFFFF"/>
              </w:rPr>
              <w:t>Број оболелих</w:t>
            </w:r>
            <w:r>
              <w:rPr>
                <w:i w:val="0"/>
                <w:color w:val="FFFFFF"/>
              </w:rPr>
              <w:t xml:space="preserve"> </w:t>
            </w:r>
            <w:r w:rsidRPr="003E3916">
              <w:rPr>
                <w:i w:val="0"/>
                <w:color w:val="FFFFFF"/>
              </w:rPr>
              <w:t>у епидемијама</w:t>
            </w:r>
          </w:p>
        </w:tc>
        <w:tc>
          <w:tcPr>
            <w:tcW w:w="1593" w:type="dxa"/>
          </w:tcPr>
          <w:p w:rsidR="00FE5039" w:rsidRPr="003E3916" w:rsidRDefault="00FE5039" w:rsidP="00B03CC0">
            <w:pPr>
              <w:spacing w:line="259" w:lineRule="auto"/>
              <w:ind w:left="1"/>
              <w:jc w:val="right"/>
              <w:cnfStyle w:val="100000000000" w:firstRow="1" w:lastRow="0" w:firstColumn="0" w:lastColumn="0" w:oddVBand="0" w:evenVBand="0" w:oddHBand="0" w:evenHBand="0" w:firstRowFirstColumn="0" w:firstRowLastColumn="0" w:lastRowFirstColumn="0" w:lastRowLastColumn="0"/>
              <w:rPr>
                <w:i w:val="0"/>
                <w:color w:val="FFFFFF"/>
              </w:rPr>
            </w:pPr>
            <w:r>
              <w:rPr>
                <w:i w:val="0"/>
                <w:color w:val="FFFFFF"/>
              </w:rPr>
              <w:t>Учешће</w:t>
            </w:r>
            <w:r w:rsidRPr="003E3916">
              <w:rPr>
                <w:i w:val="0"/>
                <w:color w:val="FFFFFF"/>
              </w:rPr>
              <w:t xml:space="preserve"> оболелих у епидемијама (%)</w:t>
            </w:r>
          </w:p>
        </w:tc>
      </w:tr>
      <w:tr w:rsidR="00FE5039" w:rsidRPr="003E3916" w:rsidTr="00B03CC0">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208" w:type="dxa"/>
            <w:tcBorders>
              <w:right w:val="none" w:sz="0" w:space="0" w:color="auto"/>
            </w:tcBorders>
          </w:tcPr>
          <w:p w:rsidR="00FE5039" w:rsidRPr="003E3916" w:rsidRDefault="00FE5039" w:rsidP="00B03CC0">
            <w:pPr>
              <w:spacing w:line="259" w:lineRule="auto"/>
              <w:jc w:val="right"/>
              <w:rPr>
                <w:i w:val="0"/>
              </w:rPr>
            </w:pPr>
            <w:r>
              <w:rPr>
                <w:i w:val="0"/>
              </w:rPr>
              <w:t>2008</w:t>
            </w:r>
            <w:r w:rsidRPr="003E3916">
              <w:rPr>
                <w:i w:val="0"/>
              </w:rPr>
              <w:t xml:space="preserve"> </w:t>
            </w:r>
          </w:p>
        </w:tc>
        <w:tc>
          <w:tcPr>
            <w:tcW w:w="1344" w:type="dxa"/>
          </w:tcPr>
          <w:p w:rsidR="00FE5039" w:rsidRPr="0043789C" w:rsidRDefault="00FE5039" w:rsidP="00B03CC0">
            <w:pPr>
              <w:tabs>
                <w:tab w:val="left" w:pos="1125"/>
              </w:tabs>
              <w:spacing w:line="259" w:lineRule="auto"/>
              <w:ind w:right="46"/>
              <w:jc w:val="right"/>
              <w:cnfStyle w:val="000000100000" w:firstRow="0" w:lastRow="0" w:firstColumn="0" w:lastColumn="0" w:oddVBand="0" w:evenVBand="0" w:oddHBand="1" w:evenHBand="0" w:firstRowFirstColumn="0" w:firstRowLastColumn="0" w:lastRowFirstColumn="0" w:lastRowLastColumn="0"/>
            </w:pPr>
            <w:r w:rsidRPr="0043789C">
              <w:t>632</w:t>
            </w:r>
          </w:p>
        </w:tc>
        <w:tc>
          <w:tcPr>
            <w:tcW w:w="1595" w:type="dxa"/>
          </w:tcPr>
          <w:p w:rsidR="00FE5039" w:rsidRPr="0043789C" w:rsidRDefault="00FE5039" w:rsidP="00B03CC0">
            <w:pPr>
              <w:spacing w:line="259" w:lineRule="auto"/>
              <w:ind w:right="46"/>
              <w:jc w:val="right"/>
              <w:cnfStyle w:val="000000100000" w:firstRow="0" w:lastRow="0" w:firstColumn="0" w:lastColumn="0" w:oddVBand="0" w:evenVBand="0" w:oddHBand="1" w:evenHBand="0" w:firstRowFirstColumn="0" w:firstRowLastColumn="0" w:lastRowFirstColumn="0" w:lastRowLastColumn="0"/>
            </w:pPr>
            <w:r w:rsidRPr="0043789C">
              <w:t xml:space="preserve">16 </w:t>
            </w:r>
          </w:p>
        </w:tc>
        <w:tc>
          <w:tcPr>
            <w:tcW w:w="1631" w:type="dxa"/>
          </w:tcPr>
          <w:p w:rsidR="00FE5039" w:rsidRPr="0043789C" w:rsidRDefault="00FE5039" w:rsidP="00B03CC0">
            <w:pPr>
              <w:spacing w:line="259" w:lineRule="auto"/>
              <w:ind w:right="47"/>
              <w:jc w:val="right"/>
              <w:cnfStyle w:val="000000100000" w:firstRow="0" w:lastRow="0" w:firstColumn="0" w:lastColumn="0" w:oddVBand="0" w:evenVBand="0" w:oddHBand="1" w:evenHBand="0" w:firstRowFirstColumn="0" w:firstRowLastColumn="0" w:lastRowFirstColumn="0" w:lastRowLastColumn="0"/>
            </w:pPr>
            <w:r w:rsidRPr="0043789C">
              <w:t xml:space="preserve">114 </w:t>
            </w:r>
          </w:p>
        </w:tc>
        <w:tc>
          <w:tcPr>
            <w:tcW w:w="1593" w:type="dxa"/>
          </w:tcPr>
          <w:p w:rsidR="00FE5039" w:rsidRPr="0043789C" w:rsidRDefault="00FE5039" w:rsidP="00B03CC0">
            <w:pPr>
              <w:spacing w:line="259" w:lineRule="auto"/>
              <w:ind w:right="47"/>
              <w:jc w:val="right"/>
              <w:cnfStyle w:val="000000100000" w:firstRow="0" w:lastRow="0" w:firstColumn="0" w:lastColumn="0" w:oddVBand="0" w:evenVBand="0" w:oddHBand="1" w:evenHBand="0" w:firstRowFirstColumn="0" w:firstRowLastColumn="0" w:lastRowFirstColumn="0" w:lastRowLastColumn="0"/>
            </w:pPr>
            <w:r w:rsidRPr="0043789C">
              <w:t>18,0</w:t>
            </w:r>
          </w:p>
        </w:tc>
      </w:tr>
      <w:tr w:rsidR="00FE5039" w:rsidRPr="003E3916"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208" w:type="dxa"/>
            <w:tcBorders>
              <w:right w:val="none" w:sz="0" w:space="0" w:color="auto"/>
            </w:tcBorders>
          </w:tcPr>
          <w:p w:rsidR="00FE5039" w:rsidRPr="003E3916" w:rsidRDefault="00FE5039" w:rsidP="00B03CC0">
            <w:pPr>
              <w:spacing w:line="259" w:lineRule="auto"/>
              <w:jc w:val="right"/>
              <w:rPr>
                <w:i w:val="0"/>
              </w:rPr>
            </w:pPr>
            <w:r>
              <w:rPr>
                <w:i w:val="0"/>
              </w:rPr>
              <w:t>2009</w:t>
            </w:r>
            <w:r w:rsidRPr="003E3916">
              <w:rPr>
                <w:i w:val="0"/>
              </w:rPr>
              <w:t xml:space="preserve"> </w:t>
            </w:r>
          </w:p>
        </w:tc>
        <w:tc>
          <w:tcPr>
            <w:tcW w:w="1344" w:type="dxa"/>
          </w:tcPr>
          <w:p w:rsidR="00FE5039" w:rsidRPr="0043789C" w:rsidRDefault="00FE5039" w:rsidP="00B03CC0">
            <w:pPr>
              <w:tabs>
                <w:tab w:val="left" w:pos="1125"/>
              </w:tabs>
              <w:spacing w:line="259" w:lineRule="auto"/>
              <w:ind w:right="46"/>
              <w:jc w:val="right"/>
              <w:cnfStyle w:val="000000010000" w:firstRow="0" w:lastRow="0" w:firstColumn="0" w:lastColumn="0" w:oddVBand="0" w:evenVBand="0" w:oddHBand="0" w:evenHBand="1" w:firstRowFirstColumn="0" w:firstRowLastColumn="0" w:lastRowFirstColumn="0" w:lastRowLastColumn="0"/>
            </w:pPr>
            <w:r w:rsidRPr="0043789C">
              <w:t>451</w:t>
            </w:r>
          </w:p>
        </w:tc>
        <w:tc>
          <w:tcPr>
            <w:tcW w:w="1595" w:type="dxa"/>
          </w:tcPr>
          <w:p w:rsidR="00FE5039" w:rsidRPr="0043789C" w:rsidRDefault="00FE5039" w:rsidP="00B03CC0">
            <w:pPr>
              <w:spacing w:line="259" w:lineRule="auto"/>
              <w:ind w:right="46"/>
              <w:jc w:val="right"/>
              <w:cnfStyle w:val="000000010000" w:firstRow="0" w:lastRow="0" w:firstColumn="0" w:lastColumn="0" w:oddVBand="0" w:evenVBand="0" w:oddHBand="0" w:evenHBand="1" w:firstRowFirstColumn="0" w:firstRowLastColumn="0" w:lastRowFirstColumn="0" w:lastRowLastColumn="0"/>
            </w:pPr>
            <w:r w:rsidRPr="0043789C">
              <w:t xml:space="preserve">17 </w:t>
            </w:r>
          </w:p>
        </w:tc>
        <w:tc>
          <w:tcPr>
            <w:tcW w:w="1631" w:type="dxa"/>
          </w:tcPr>
          <w:p w:rsidR="00FE5039" w:rsidRPr="0043789C" w:rsidRDefault="00FE5039" w:rsidP="00B03CC0">
            <w:pPr>
              <w:spacing w:line="259" w:lineRule="auto"/>
              <w:ind w:right="45"/>
              <w:jc w:val="right"/>
              <w:cnfStyle w:val="000000010000" w:firstRow="0" w:lastRow="0" w:firstColumn="0" w:lastColumn="0" w:oddVBand="0" w:evenVBand="0" w:oddHBand="0" w:evenHBand="1" w:firstRowFirstColumn="0" w:firstRowLastColumn="0" w:lastRowFirstColumn="0" w:lastRowLastColumn="0"/>
            </w:pPr>
            <w:r w:rsidRPr="0043789C">
              <w:t xml:space="preserve">84 </w:t>
            </w:r>
          </w:p>
        </w:tc>
        <w:tc>
          <w:tcPr>
            <w:tcW w:w="1593" w:type="dxa"/>
          </w:tcPr>
          <w:p w:rsidR="00FE5039" w:rsidRPr="0043789C" w:rsidRDefault="00FE5039" w:rsidP="00B03CC0">
            <w:pPr>
              <w:spacing w:line="259" w:lineRule="auto"/>
              <w:ind w:right="45"/>
              <w:jc w:val="right"/>
              <w:cnfStyle w:val="000000010000" w:firstRow="0" w:lastRow="0" w:firstColumn="0" w:lastColumn="0" w:oddVBand="0" w:evenVBand="0" w:oddHBand="0" w:evenHBand="1" w:firstRowFirstColumn="0" w:firstRowLastColumn="0" w:lastRowFirstColumn="0" w:lastRowLastColumn="0"/>
            </w:pPr>
            <w:r w:rsidRPr="0043789C">
              <w:t>18,6</w:t>
            </w:r>
          </w:p>
        </w:tc>
      </w:tr>
      <w:tr w:rsidR="00FE5039" w:rsidRPr="003E3916" w:rsidTr="00B03CC0">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208" w:type="dxa"/>
            <w:tcBorders>
              <w:right w:val="none" w:sz="0" w:space="0" w:color="auto"/>
            </w:tcBorders>
          </w:tcPr>
          <w:p w:rsidR="00FE5039" w:rsidRPr="003E3916" w:rsidRDefault="00FE5039" w:rsidP="00B03CC0">
            <w:pPr>
              <w:spacing w:line="259" w:lineRule="auto"/>
              <w:jc w:val="right"/>
              <w:rPr>
                <w:i w:val="0"/>
              </w:rPr>
            </w:pPr>
            <w:r>
              <w:rPr>
                <w:i w:val="0"/>
              </w:rPr>
              <w:t>2010</w:t>
            </w:r>
            <w:r w:rsidRPr="003E3916">
              <w:rPr>
                <w:i w:val="0"/>
              </w:rPr>
              <w:t xml:space="preserve"> </w:t>
            </w:r>
          </w:p>
        </w:tc>
        <w:tc>
          <w:tcPr>
            <w:tcW w:w="1344" w:type="dxa"/>
          </w:tcPr>
          <w:p w:rsidR="00FE5039" w:rsidRPr="0043789C" w:rsidRDefault="00FE5039" w:rsidP="00B03CC0">
            <w:pPr>
              <w:tabs>
                <w:tab w:val="left" w:pos="1125"/>
              </w:tabs>
              <w:spacing w:line="259" w:lineRule="auto"/>
              <w:ind w:right="46"/>
              <w:jc w:val="right"/>
              <w:cnfStyle w:val="000000100000" w:firstRow="0" w:lastRow="0" w:firstColumn="0" w:lastColumn="0" w:oddVBand="0" w:evenVBand="0" w:oddHBand="1" w:evenHBand="0" w:firstRowFirstColumn="0" w:firstRowLastColumn="0" w:lastRowFirstColumn="0" w:lastRowLastColumn="0"/>
            </w:pPr>
            <w:r w:rsidRPr="0043789C">
              <w:t>522</w:t>
            </w:r>
          </w:p>
        </w:tc>
        <w:tc>
          <w:tcPr>
            <w:tcW w:w="1595" w:type="dxa"/>
          </w:tcPr>
          <w:p w:rsidR="00FE5039" w:rsidRPr="0043789C" w:rsidRDefault="00FE5039" w:rsidP="00B03CC0">
            <w:pPr>
              <w:spacing w:line="259" w:lineRule="auto"/>
              <w:ind w:right="46"/>
              <w:jc w:val="right"/>
              <w:cnfStyle w:val="000000100000" w:firstRow="0" w:lastRow="0" w:firstColumn="0" w:lastColumn="0" w:oddVBand="0" w:evenVBand="0" w:oddHBand="1" w:evenHBand="0" w:firstRowFirstColumn="0" w:firstRowLastColumn="0" w:lastRowFirstColumn="0" w:lastRowLastColumn="0"/>
            </w:pPr>
            <w:r w:rsidRPr="0043789C">
              <w:t xml:space="preserve">20 </w:t>
            </w:r>
          </w:p>
        </w:tc>
        <w:tc>
          <w:tcPr>
            <w:tcW w:w="1631" w:type="dxa"/>
          </w:tcPr>
          <w:p w:rsidR="00FE5039" w:rsidRPr="0043789C" w:rsidRDefault="00FE5039" w:rsidP="00B03CC0">
            <w:pPr>
              <w:spacing w:line="259" w:lineRule="auto"/>
              <w:ind w:right="47"/>
              <w:jc w:val="right"/>
              <w:cnfStyle w:val="000000100000" w:firstRow="0" w:lastRow="0" w:firstColumn="0" w:lastColumn="0" w:oddVBand="0" w:evenVBand="0" w:oddHBand="1" w:evenHBand="0" w:firstRowFirstColumn="0" w:firstRowLastColumn="0" w:lastRowFirstColumn="0" w:lastRowLastColumn="0"/>
            </w:pPr>
            <w:r w:rsidRPr="0043789C">
              <w:t xml:space="preserve">117 </w:t>
            </w:r>
          </w:p>
        </w:tc>
        <w:tc>
          <w:tcPr>
            <w:tcW w:w="1593" w:type="dxa"/>
          </w:tcPr>
          <w:p w:rsidR="00FE5039" w:rsidRPr="0043789C" w:rsidRDefault="00FE5039" w:rsidP="00B03CC0">
            <w:pPr>
              <w:spacing w:line="259" w:lineRule="auto"/>
              <w:ind w:right="47"/>
              <w:jc w:val="right"/>
              <w:cnfStyle w:val="000000100000" w:firstRow="0" w:lastRow="0" w:firstColumn="0" w:lastColumn="0" w:oddVBand="0" w:evenVBand="0" w:oddHBand="1" w:evenHBand="0" w:firstRowFirstColumn="0" w:firstRowLastColumn="0" w:lastRowFirstColumn="0" w:lastRowLastColumn="0"/>
            </w:pPr>
            <w:r w:rsidRPr="0043789C">
              <w:t>22,4</w:t>
            </w:r>
          </w:p>
        </w:tc>
      </w:tr>
      <w:tr w:rsidR="00FE5039" w:rsidRPr="003E3916"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208" w:type="dxa"/>
            <w:tcBorders>
              <w:right w:val="none" w:sz="0" w:space="0" w:color="auto"/>
            </w:tcBorders>
          </w:tcPr>
          <w:p w:rsidR="00FE5039" w:rsidRPr="003E3916" w:rsidRDefault="00FE5039" w:rsidP="00B03CC0">
            <w:pPr>
              <w:spacing w:line="259" w:lineRule="auto"/>
              <w:jc w:val="right"/>
              <w:rPr>
                <w:i w:val="0"/>
              </w:rPr>
            </w:pPr>
            <w:r>
              <w:rPr>
                <w:i w:val="0"/>
              </w:rPr>
              <w:t>2011</w:t>
            </w:r>
            <w:r w:rsidRPr="003E3916">
              <w:rPr>
                <w:i w:val="0"/>
              </w:rPr>
              <w:t xml:space="preserve"> </w:t>
            </w:r>
          </w:p>
        </w:tc>
        <w:tc>
          <w:tcPr>
            <w:tcW w:w="1344" w:type="dxa"/>
          </w:tcPr>
          <w:p w:rsidR="00FE5039" w:rsidRPr="0043789C" w:rsidRDefault="00FE5039" w:rsidP="00B03CC0">
            <w:pPr>
              <w:tabs>
                <w:tab w:val="left" w:pos="1125"/>
              </w:tabs>
              <w:spacing w:line="259" w:lineRule="auto"/>
              <w:ind w:right="46"/>
              <w:jc w:val="right"/>
              <w:cnfStyle w:val="000000010000" w:firstRow="0" w:lastRow="0" w:firstColumn="0" w:lastColumn="0" w:oddVBand="0" w:evenVBand="0" w:oddHBand="0" w:evenHBand="1" w:firstRowFirstColumn="0" w:firstRowLastColumn="0" w:lastRowFirstColumn="0" w:lastRowLastColumn="0"/>
            </w:pPr>
            <w:r w:rsidRPr="0043789C">
              <w:t>518</w:t>
            </w:r>
          </w:p>
        </w:tc>
        <w:tc>
          <w:tcPr>
            <w:tcW w:w="1595" w:type="dxa"/>
          </w:tcPr>
          <w:p w:rsidR="00FE5039" w:rsidRPr="0043789C" w:rsidRDefault="00FE5039" w:rsidP="00B03CC0">
            <w:pPr>
              <w:spacing w:line="259" w:lineRule="auto"/>
              <w:ind w:right="46"/>
              <w:jc w:val="right"/>
              <w:cnfStyle w:val="000000010000" w:firstRow="0" w:lastRow="0" w:firstColumn="0" w:lastColumn="0" w:oddVBand="0" w:evenVBand="0" w:oddHBand="0" w:evenHBand="1" w:firstRowFirstColumn="0" w:firstRowLastColumn="0" w:lastRowFirstColumn="0" w:lastRowLastColumn="0"/>
            </w:pPr>
            <w:r w:rsidRPr="0043789C">
              <w:t xml:space="preserve">21 </w:t>
            </w:r>
          </w:p>
        </w:tc>
        <w:tc>
          <w:tcPr>
            <w:tcW w:w="1631" w:type="dxa"/>
          </w:tcPr>
          <w:p w:rsidR="00FE5039" w:rsidRPr="0043789C" w:rsidRDefault="00FE5039" w:rsidP="00B03CC0">
            <w:pPr>
              <w:spacing w:line="259" w:lineRule="auto"/>
              <w:ind w:right="47"/>
              <w:jc w:val="right"/>
              <w:cnfStyle w:val="000000010000" w:firstRow="0" w:lastRow="0" w:firstColumn="0" w:lastColumn="0" w:oddVBand="0" w:evenVBand="0" w:oddHBand="0" w:evenHBand="1" w:firstRowFirstColumn="0" w:firstRowLastColumn="0" w:lastRowFirstColumn="0" w:lastRowLastColumn="0"/>
            </w:pPr>
            <w:r w:rsidRPr="0043789C">
              <w:t xml:space="preserve">187 </w:t>
            </w:r>
          </w:p>
        </w:tc>
        <w:tc>
          <w:tcPr>
            <w:tcW w:w="1593" w:type="dxa"/>
          </w:tcPr>
          <w:p w:rsidR="00FE5039" w:rsidRPr="0043789C" w:rsidRDefault="00FE5039" w:rsidP="00B03CC0">
            <w:pPr>
              <w:spacing w:line="259" w:lineRule="auto"/>
              <w:ind w:right="47"/>
              <w:jc w:val="right"/>
              <w:cnfStyle w:val="000000010000" w:firstRow="0" w:lastRow="0" w:firstColumn="0" w:lastColumn="0" w:oddVBand="0" w:evenVBand="0" w:oddHBand="0" w:evenHBand="1" w:firstRowFirstColumn="0" w:firstRowLastColumn="0" w:lastRowFirstColumn="0" w:lastRowLastColumn="0"/>
            </w:pPr>
            <w:r w:rsidRPr="0043789C">
              <w:t>36,1</w:t>
            </w:r>
          </w:p>
        </w:tc>
      </w:tr>
      <w:tr w:rsidR="00FE5039" w:rsidRPr="003E3916" w:rsidTr="00B03CC0">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208" w:type="dxa"/>
            <w:tcBorders>
              <w:right w:val="none" w:sz="0" w:space="0" w:color="auto"/>
            </w:tcBorders>
          </w:tcPr>
          <w:p w:rsidR="00FE5039" w:rsidRPr="003E3916" w:rsidRDefault="00FE5039" w:rsidP="00B03CC0">
            <w:pPr>
              <w:spacing w:line="259" w:lineRule="auto"/>
              <w:jc w:val="right"/>
              <w:rPr>
                <w:i w:val="0"/>
              </w:rPr>
            </w:pPr>
            <w:r>
              <w:rPr>
                <w:i w:val="0"/>
              </w:rPr>
              <w:t>2012</w:t>
            </w:r>
            <w:r w:rsidRPr="003E3916">
              <w:rPr>
                <w:i w:val="0"/>
              </w:rPr>
              <w:t xml:space="preserve"> </w:t>
            </w:r>
          </w:p>
        </w:tc>
        <w:tc>
          <w:tcPr>
            <w:tcW w:w="1344" w:type="dxa"/>
          </w:tcPr>
          <w:p w:rsidR="00FE5039" w:rsidRPr="0043789C" w:rsidRDefault="00FE5039" w:rsidP="00B03CC0">
            <w:pPr>
              <w:tabs>
                <w:tab w:val="left" w:pos="1125"/>
              </w:tabs>
              <w:spacing w:line="259" w:lineRule="auto"/>
              <w:ind w:right="46"/>
              <w:jc w:val="right"/>
              <w:cnfStyle w:val="000000100000" w:firstRow="0" w:lastRow="0" w:firstColumn="0" w:lastColumn="0" w:oddVBand="0" w:evenVBand="0" w:oddHBand="1" w:evenHBand="0" w:firstRowFirstColumn="0" w:firstRowLastColumn="0" w:lastRowFirstColumn="0" w:lastRowLastColumn="0"/>
            </w:pPr>
            <w:r w:rsidRPr="0043789C">
              <w:t>410</w:t>
            </w:r>
          </w:p>
        </w:tc>
        <w:tc>
          <w:tcPr>
            <w:tcW w:w="1595" w:type="dxa"/>
          </w:tcPr>
          <w:p w:rsidR="00FE5039" w:rsidRPr="0043789C" w:rsidRDefault="00FE5039" w:rsidP="00B03CC0">
            <w:pPr>
              <w:spacing w:line="259" w:lineRule="auto"/>
              <w:ind w:right="46"/>
              <w:jc w:val="right"/>
              <w:cnfStyle w:val="000000100000" w:firstRow="0" w:lastRow="0" w:firstColumn="0" w:lastColumn="0" w:oddVBand="0" w:evenVBand="0" w:oddHBand="1" w:evenHBand="0" w:firstRowFirstColumn="0" w:firstRowLastColumn="0" w:lastRowFirstColumn="0" w:lastRowLastColumn="0"/>
            </w:pPr>
            <w:r w:rsidRPr="0043789C">
              <w:t xml:space="preserve">12 </w:t>
            </w:r>
          </w:p>
        </w:tc>
        <w:tc>
          <w:tcPr>
            <w:tcW w:w="1631" w:type="dxa"/>
          </w:tcPr>
          <w:p w:rsidR="00FE5039" w:rsidRPr="0043789C" w:rsidRDefault="00FE5039" w:rsidP="00B03CC0">
            <w:pPr>
              <w:spacing w:line="259" w:lineRule="auto"/>
              <w:ind w:right="45"/>
              <w:jc w:val="right"/>
              <w:cnfStyle w:val="000000100000" w:firstRow="0" w:lastRow="0" w:firstColumn="0" w:lastColumn="0" w:oddVBand="0" w:evenVBand="0" w:oddHBand="1" w:evenHBand="0" w:firstRowFirstColumn="0" w:firstRowLastColumn="0" w:lastRowFirstColumn="0" w:lastRowLastColumn="0"/>
            </w:pPr>
            <w:r w:rsidRPr="0043789C">
              <w:t xml:space="preserve">56 </w:t>
            </w:r>
          </w:p>
        </w:tc>
        <w:tc>
          <w:tcPr>
            <w:tcW w:w="1593" w:type="dxa"/>
          </w:tcPr>
          <w:p w:rsidR="00FE5039" w:rsidRPr="0043789C" w:rsidRDefault="00FE5039" w:rsidP="00B03CC0">
            <w:pPr>
              <w:spacing w:line="259" w:lineRule="auto"/>
              <w:ind w:right="45"/>
              <w:jc w:val="right"/>
              <w:cnfStyle w:val="000000100000" w:firstRow="0" w:lastRow="0" w:firstColumn="0" w:lastColumn="0" w:oddVBand="0" w:evenVBand="0" w:oddHBand="1" w:evenHBand="0" w:firstRowFirstColumn="0" w:firstRowLastColumn="0" w:lastRowFirstColumn="0" w:lastRowLastColumn="0"/>
            </w:pPr>
            <w:r w:rsidRPr="0043789C">
              <w:t>13,6</w:t>
            </w:r>
          </w:p>
        </w:tc>
      </w:tr>
      <w:tr w:rsidR="00FE5039" w:rsidRPr="003E3916"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208" w:type="dxa"/>
            <w:tcBorders>
              <w:bottom w:val="nil"/>
              <w:right w:val="none" w:sz="0" w:space="0" w:color="auto"/>
            </w:tcBorders>
          </w:tcPr>
          <w:p w:rsidR="00FE5039" w:rsidRPr="003E3916" w:rsidRDefault="00FE5039" w:rsidP="00B03CC0">
            <w:pPr>
              <w:spacing w:line="259" w:lineRule="auto"/>
              <w:jc w:val="right"/>
              <w:rPr>
                <w:i w:val="0"/>
              </w:rPr>
            </w:pPr>
            <w:r w:rsidRPr="003E3916">
              <w:rPr>
                <w:i w:val="0"/>
              </w:rPr>
              <w:t>2013</w:t>
            </w:r>
          </w:p>
        </w:tc>
        <w:tc>
          <w:tcPr>
            <w:tcW w:w="1344" w:type="dxa"/>
            <w:tcBorders>
              <w:bottom w:val="nil"/>
            </w:tcBorders>
            <w:shd w:val="clear" w:color="auto" w:fill="auto"/>
          </w:tcPr>
          <w:p w:rsidR="00FE5039" w:rsidRPr="0043789C" w:rsidRDefault="00FE5039" w:rsidP="00B03CC0">
            <w:pPr>
              <w:tabs>
                <w:tab w:val="left" w:pos="1125"/>
              </w:tabs>
              <w:spacing w:line="259" w:lineRule="auto"/>
              <w:ind w:right="46"/>
              <w:jc w:val="right"/>
              <w:cnfStyle w:val="000000010000" w:firstRow="0" w:lastRow="0" w:firstColumn="0" w:lastColumn="0" w:oddVBand="0" w:evenVBand="0" w:oddHBand="0" w:evenHBand="1" w:firstRowFirstColumn="0" w:firstRowLastColumn="0" w:lastRowFirstColumn="0" w:lastRowLastColumn="0"/>
            </w:pPr>
            <w:r w:rsidRPr="0043789C">
              <w:t>500</w:t>
            </w:r>
          </w:p>
        </w:tc>
        <w:tc>
          <w:tcPr>
            <w:tcW w:w="1595" w:type="dxa"/>
          </w:tcPr>
          <w:p w:rsidR="00FE5039" w:rsidRPr="0043789C" w:rsidRDefault="00FE5039" w:rsidP="00B03CC0">
            <w:pPr>
              <w:spacing w:line="259" w:lineRule="auto"/>
              <w:ind w:right="46"/>
              <w:jc w:val="right"/>
              <w:cnfStyle w:val="000000010000" w:firstRow="0" w:lastRow="0" w:firstColumn="0" w:lastColumn="0" w:oddVBand="0" w:evenVBand="0" w:oddHBand="0" w:evenHBand="1" w:firstRowFirstColumn="0" w:firstRowLastColumn="0" w:lastRowFirstColumn="0" w:lastRowLastColumn="0"/>
            </w:pPr>
            <w:r w:rsidRPr="0043789C">
              <w:t>19</w:t>
            </w:r>
          </w:p>
        </w:tc>
        <w:tc>
          <w:tcPr>
            <w:tcW w:w="1631" w:type="dxa"/>
          </w:tcPr>
          <w:p w:rsidR="00FE5039" w:rsidRPr="0043789C" w:rsidRDefault="00FE5039" w:rsidP="00B03CC0">
            <w:pPr>
              <w:spacing w:line="259" w:lineRule="auto"/>
              <w:ind w:right="45"/>
              <w:jc w:val="right"/>
              <w:cnfStyle w:val="000000010000" w:firstRow="0" w:lastRow="0" w:firstColumn="0" w:lastColumn="0" w:oddVBand="0" w:evenVBand="0" w:oddHBand="0" w:evenHBand="1" w:firstRowFirstColumn="0" w:firstRowLastColumn="0" w:lastRowFirstColumn="0" w:lastRowLastColumn="0"/>
            </w:pPr>
            <w:r w:rsidRPr="0043789C">
              <w:t>106</w:t>
            </w:r>
          </w:p>
        </w:tc>
        <w:tc>
          <w:tcPr>
            <w:tcW w:w="1593" w:type="dxa"/>
          </w:tcPr>
          <w:p w:rsidR="00FE5039" w:rsidRPr="0043789C" w:rsidRDefault="00FE5039" w:rsidP="00B03CC0">
            <w:pPr>
              <w:spacing w:line="259" w:lineRule="auto"/>
              <w:ind w:right="45"/>
              <w:jc w:val="right"/>
              <w:cnfStyle w:val="000000010000" w:firstRow="0" w:lastRow="0" w:firstColumn="0" w:lastColumn="0" w:oddVBand="0" w:evenVBand="0" w:oddHBand="0" w:evenHBand="1" w:firstRowFirstColumn="0" w:firstRowLastColumn="0" w:lastRowFirstColumn="0" w:lastRowLastColumn="0"/>
            </w:pPr>
            <w:r w:rsidRPr="0043789C">
              <w:t>21,2</w:t>
            </w:r>
          </w:p>
        </w:tc>
      </w:tr>
      <w:tr w:rsidR="00FE5039" w:rsidRPr="003E3916" w:rsidTr="00B03CC0">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208" w:type="dxa"/>
            <w:tcBorders>
              <w:left w:val="nil"/>
              <w:right w:val="nil"/>
            </w:tcBorders>
            <w:shd w:val="clear" w:color="auto" w:fill="auto"/>
          </w:tcPr>
          <w:p w:rsidR="00FE5039" w:rsidRPr="003E3916" w:rsidRDefault="00FE5039" w:rsidP="00B03CC0">
            <w:pPr>
              <w:spacing w:line="259" w:lineRule="auto"/>
              <w:jc w:val="right"/>
              <w:rPr>
                <w:i w:val="0"/>
              </w:rPr>
            </w:pPr>
            <w:r>
              <w:rPr>
                <w:i w:val="0"/>
              </w:rPr>
              <w:t>2014</w:t>
            </w:r>
          </w:p>
        </w:tc>
        <w:tc>
          <w:tcPr>
            <w:tcW w:w="1344" w:type="dxa"/>
            <w:tcBorders>
              <w:left w:val="nil"/>
            </w:tcBorders>
          </w:tcPr>
          <w:p w:rsidR="00FE5039" w:rsidRPr="0043789C" w:rsidRDefault="00FE5039" w:rsidP="00B03CC0">
            <w:pPr>
              <w:tabs>
                <w:tab w:val="left" w:pos="1125"/>
              </w:tabs>
              <w:spacing w:line="259" w:lineRule="auto"/>
              <w:ind w:right="46"/>
              <w:jc w:val="right"/>
              <w:cnfStyle w:val="000000100000" w:firstRow="0" w:lastRow="0" w:firstColumn="0" w:lastColumn="0" w:oddVBand="0" w:evenVBand="0" w:oddHBand="1" w:evenHBand="0" w:firstRowFirstColumn="0" w:firstRowLastColumn="0" w:lastRowFirstColumn="0" w:lastRowLastColumn="0"/>
            </w:pPr>
            <w:r w:rsidRPr="0043789C">
              <w:t>470</w:t>
            </w:r>
          </w:p>
        </w:tc>
        <w:tc>
          <w:tcPr>
            <w:tcW w:w="1595" w:type="dxa"/>
          </w:tcPr>
          <w:p w:rsidR="00FE5039" w:rsidRPr="0043789C" w:rsidRDefault="00FE5039" w:rsidP="00B03CC0">
            <w:pPr>
              <w:spacing w:line="259" w:lineRule="auto"/>
              <w:ind w:right="46"/>
              <w:jc w:val="right"/>
              <w:cnfStyle w:val="000000100000" w:firstRow="0" w:lastRow="0" w:firstColumn="0" w:lastColumn="0" w:oddVBand="0" w:evenVBand="0" w:oddHBand="1" w:evenHBand="0" w:firstRowFirstColumn="0" w:firstRowLastColumn="0" w:lastRowFirstColumn="0" w:lastRowLastColumn="0"/>
            </w:pPr>
            <w:r w:rsidRPr="0043789C">
              <w:t>9</w:t>
            </w:r>
          </w:p>
        </w:tc>
        <w:tc>
          <w:tcPr>
            <w:tcW w:w="1631" w:type="dxa"/>
          </w:tcPr>
          <w:p w:rsidR="00FE5039" w:rsidRPr="0043789C" w:rsidRDefault="00FE5039" w:rsidP="00B03CC0">
            <w:pPr>
              <w:spacing w:line="259" w:lineRule="auto"/>
              <w:ind w:right="45"/>
              <w:jc w:val="right"/>
              <w:cnfStyle w:val="000000100000" w:firstRow="0" w:lastRow="0" w:firstColumn="0" w:lastColumn="0" w:oddVBand="0" w:evenVBand="0" w:oddHBand="1" w:evenHBand="0" w:firstRowFirstColumn="0" w:firstRowLastColumn="0" w:lastRowFirstColumn="0" w:lastRowLastColumn="0"/>
            </w:pPr>
            <w:r w:rsidRPr="0043789C">
              <w:t>52</w:t>
            </w:r>
          </w:p>
        </w:tc>
        <w:tc>
          <w:tcPr>
            <w:tcW w:w="1593" w:type="dxa"/>
          </w:tcPr>
          <w:p w:rsidR="00FE5039" w:rsidRPr="0043789C" w:rsidRDefault="00FE5039" w:rsidP="00B03CC0">
            <w:pPr>
              <w:spacing w:line="259" w:lineRule="auto"/>
              <w:ind w:right="45"/>
              <w:jc w:val="right"/>
              <w:cnfStyle w:val="000000100000" w:firstRow="0" w:lastRow="0" w:firstColumn="0" w:lastColumn="0" w:oddVBand="0" w:evenVBand="0" w:oddHBand="1" w:evenHBand="0" w:firstRowFirstColumn="0" w:firstRowLastColumn="0" w:lastRowFirstColumn="0" w:lastRowLastColumn="0"/>
            </w:pPr>
            <w:r w:rsidRPr="0043789C">
              <w:t>11,1</w:t>
            </w:r>
          </w:p>
        </w:tc>
      </w:tr>
      <w:tr w:rsidR="00FE5039" w:rsidRPr="003E3916"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208" w:type="dxa"/>
            <w:tcBorders>
              <w:left w:val="nil"/>
              <w:right w:val="nil"/>
            </w:tcBorders>
            <w:shd w:val="clear" w:color="auto" w:fill="auto"/>
          </w:tcPr>
          <w:p w:rsidR="00FE5039" w:rsidRPr="003E3916" w:rsidRDefault="00FE5039" w:rsidP="00B03CC0">
            <w:pPr>
              <w:spacing w:line="259" w:lineRule="auto"/>
              <w:jc w:val="right"/>
              <w:rPr>
                <w:i w:val="0"/>
              </w:rPr>
            </w:pPr>
            <w:r>
              <w:rPr>
                <w:i w:val="0"/>
              </w:rPr>
              <w:t>2015</w:t>
            </w:r>
          </w:p>
        </w:tc>
        <w:tc>
          <w:tcPr>
            <w:tcW w:w="1344" w:type="dxa"/>
            <w:tcBorders>
              <w:left w:val="nil"/>
            </w:tcBorders>
            <w:shd w:val="clear" w:color="auto" w:fill="auto"/>
            <w:vAlign w:val="top"/>
          </w:tcPr>
          <w:p w:rsidR="00FE5039" w:rsidRPr="0043789C" w:rsidRDefault="00FE5039" w:rsidP="00B03CC0">
            <w:pPr>
              <w:tabs>
                <w:tab w:val="left" w:pos="1125"/>
              </w:tabs>
              <w:jc w:val="right"/>
              <w:cnfStyle w:val="000000010000" w:firstRow="0" w:lastRow="0" w:firstColumn="0" w:lastColumn="0" w:oddVBand="0" w:evenVBand="0" w:oddHBand="0" w:evenHBand="1" w:firstRowFirstColumn="0" w:firstRowLastColumn="0" w:lastRowFirstColumn="0" w:lastRowLastColumn="0"/>
              <w:rPr>
                <w:rFonts w:cs="Arial"/>
              </w:rPr>
            </w:pPr>
            <w:r w:rsidRPr="0043789C">
              <w:rPr>
                <w:rFonts w:cs="Arial"/>
              </w:rPr>
              <w:t>485</w:t>
            </w:r>
          </w:p>
        </w:tc>
        <w:tc>
          <w:tcPr>
            <w:tcW w:w="1595" w:type="dxa"/>
            <w:vAlign w:val="top"/>
          </w:tcPr>
          <w:p w:rsidR="00FE5039" w:rsidRPr="0043789C" w:rsidRDefault="00FE5039" w:rsidP="00B03CC0">
            <w:pPr>
              <w:jc w:val="right"/>
              <w:cnfStyle w:val="000000010000" w:firstRow="0" w:lastRow="0" w:firstColumn="0" w:lastColumn="0" w:oddVBand="0" w:evenVBand="0" w:oddHBand="0" w:evenHBand="1" w:firstRowFirstColumn="0" w:firstRowLastColumn="0" w:lastRowFirstColumn="0" w:lastRowLastColumn="0"/>
              <w:rPr>
                <w:rFonts w:cs="Arial"/>
              </w:rPr>
            </w:pPr>
            <w:r>
              <w:rPr>
                <w:rFonts w:cs="Arial"/>
              </w:rPr>
              <w:t xml:space="preserve"> </w:t>
            </w:r>
            <w:r w:rsidRPr="0043789C">
              <w:rPr>
                <w:rFonts w:cs="Arial"/>
              </w:rPr>
              <w:t>12</w:t>
            </w:r>
          </w:p>
        </w:tc>
        <w:tc>
          <w:tcPr>
            <w:tcW w:w="1631" w:type="dxa"/>
            <w:vAlign w:val="top"/>
          </w:tcPr>
          <w:p w:rsidR="00FE5039" w:rsidRPr="0043789C" w:rsidRDefault="00FE5039" w:rsidP="00B03CC0">
            <w:pPr>
              <w:jc w:val="right"/>
              <w:cnfStyle w:val="000000010000" w:firstRow="0" w:lastRow="0" w:firstColumn="0" w:lastColumn="0" w:oddVBand="0" w:evenVBand="0" w:oddHBand="0" w:evenHBand="1" w:firstRowFirstColumn="0" w:firstRowLastColumn="0" w:lastRowFirstColumn="0" w:lastRowLastColumn="0"/>
              <w:rPr>
                <w:rFonts w:cs="Arial"/>
              </w:rPr>
            </w:pPr>
            <w:r>
              <w:rPr>
                <w:rFonts w:cs="Arial"/>
              </w:rPr>
              <w:t xml:space="preserve"> </w:t>
            </w:r>
            <w:r w:rsidRPr="0043789C">
              <w:rPr>
                <w:rFonts w:cs="Arial"/>
              </w:rPr>
              <w:t>67</w:t>
            </w:r>
          </w:p>
        </w:tc>
        <w:tc>
          <w:tcPr>
            <w:tcW w:w="1593" w:type="dxa"/>
            <w:vAlign w:val="top"/>
          </w:tcPr>
          <w:p w:rsidR="00FE5039" w:rsidRPr="0043789C" w:rsidRDefault="00FE5039" w:rsidP="00B03CC0">
            <w:pPr>
              <w:jc w:val="right"/>
              <w:cnfStyle w:val="000000010000" w:firstRow="0" w:lastRow="0" w:firstColumn="0" w:lastColumn="0" w:oddVBand="0" w:evenVBand="0" w:oddHBand="0" w:evenHBand="1" w:firstRowFirstColumn="0" w:firstRowLastColumn="0" w:lastRowFirstColumn="0" w:lastRowLastColumn="0"/>
              <w:rPr>
                <w:rFonts w:cs="Arial"/>
              </w:rPr>
            </w:pPr>
            <w:r>
              <w:rPr>
                <w:rFonts w:cs="Arial"/>
              </w:rPr>
              <w:t xml:space="preserve"> </w:t>
            </w:r>
            <w:r w:rsidRPr="0043789C">
              <w:rPr>
                <w:rFonts w:cs="Arial"/>
              </w:rPr>
              <w:t>14,0</w:t>
            </w:r>
          </w:p>
        </w:tc>
      </w:tr>
      <w:tr w:rsidR="00FE5039" w:rsidRPr="003E3916" w:rsidTr="00B03CC0">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208" w:type="dxa"/>
            <w:tcBorders>
              <w:left w:val="nil"/>
              <w:right w:val="nil"/>
            </w:tcBorders>
            <w:shd w:val="clear" w:color="auto" w:fill="auto"/>
          </w:tcPr>
          <w:p w:rsidR="00FE5039" w:rsidRDefault="00FE5039" w:rsidP="00160B90">
            <w:pPr>
              <w:spacing w:line="259" w:lineRule="auto"/>
              <w:jc w:val="right"/>
              <w:rPr>
                <w:i w:val="0"/>
              </w:rPr>
            </w:pPr>
            <w:r>
              <w:rPr>
                <w:i w:val="0"/>
              </w:rPr>
              <w:t>2016</w:t>
            </w:r>
          </w:p>
        </w:tc>
        <w:tc>
          <w:tcPr>
            <w:tcW w:w="1344" w:type="dxa"/>
            <w:tcBorders>
              <w:left w:val="nil"/>
            </w:tcBorders>
          </w:tcPr>
          <w:p w:rsidR="00FE5039" w:rsidRPr="0043789C" w:rsidRDefault="00FE5039" w:rsidP="00B03CC0">
            <w:pPr>
              <w:tabs>
                <w:tab w:val="left" w:pos="1125"/>
              </w:tabs>
              <w:spacing w:line="259" w:lineRule="auto"/>
              <w:jc w:val="right"/>
              <w:cnfStyle w:val="000000100000" w:firstRow="0" w:lastRow="0" w:firstColumn="0" w:lastColumn="0" w:oddVBand="0" w:evenVBand="0" w:oddHBand="1" w:evenHBand="0" w:firstRowFirstColumn="0" w:firstRowLastColumn="0" w:lastRowFirstColumn="0" w:lastRowLastColumn="0"/>
            </w:pPr>
            <w:r w:rsidRPr="0043789C">
              <w:t>496</w:t>
            </w:r>
          </w:p>
        </w:tc>
        <w:tc>
          <w:tcPr>
            <w:tcW w:w="1595" w:type="dxa"/>
          </w:tcPr>
          <w:p w:rsidR="00FE5039" w:rsidRPr="0043789C" w:rsidRDefault="00FE5039" w:rsidP="00160B90">
            <w:pPr>
              <w:spacing w:line="259" w:lineRule="auto"/>
              <w:ind w:right="46"/>
              <w:jc w:val="right"/>
              <w:cnfStyle w:val="000000100000" w:firstRow="0" w:lastRow="0" w:firstColumn="0" w:lastColumn="0" w:oddVBand="0" w:evenVBand="0" w:oddHBand="1" w:evenHBand="0" w:firstRowFirstColumn="0" w:firstRowLastColumn="0" w:lastRowFirstColumn="0" w:lastRowLastColumn="0"/>
            </w:pPr>
            <w:r w:rsidRPr="0043789C">
              <w:t>9</w:t>
            </w:r>
          </w:p>
        </w:tc>
        <w:tc>
          <w:tcPr>
            <w:tcW w:w="1631" w:type="dxa"/>
          </w:tcPr>
          <w:p w:rsidR="00FE5039" w:rsidRPr="0043789C" w:rsidRDefault="00FE5039" w:rsidP="00160B90">
            <w:pPr>
              <w:spacing w:line="259" w:lineRule="auto"/>
              <w:ind w:right="45"/>
              <w:jc w:val="right"/>
              <w:cnfStyle w:val="000000100000" w:firstRow="0" w:lastRow="0" w:firstColumn="0" w:lastColumn="0" w:oddVBand="0" w:evenVBand="0" w:oddHBand="1" w:evenHBand="0" w:firstRowFirstColumn="0" w:firstRowLastColumn="0" w:lastRowFirstColumn="0" w:lastRowLastColumn="0"/>
            </w:pPr>
            <w:r w:rsidRPr="0043789C">
              <w:t>36</w:t>
            </w:r>
          </w:p>
        </w:tc>
        <w:tc>
          <w:tcPr>
            <w:tcW w:w="1593" w:type="dxa"/>
          </w:tcPr>
          <w:p w:rsidR="00FE5039" w:rsidRPr="0043789C" w:rsidRDefault="00FE5039" w:rsidP="00B03CC0">
            <w:pPr>
              <w:spacing w:line="259" w:lineRule="auto"/>
              <w:ind w:right="45"/>
              <w:jc w:val="right"/>
              <w:cnfStyle w:val="000000100000" w:firstRow="0" w:lastRow="0" w:firstColumn="0" w:lastColumn="0" w:oddVBand="0" w:evenVBand="0" w:oddHBand="1" w:evenHBand="0" w:firstRowFirstColumn="0" w:firstRowLastColumn="0" w:lastRowFirstColumn="0" w:lastRowLastColumn="0"/>
            </w:pPr>
            <w:r w:rsidRPr="0043789C">
              <w:t>7,2</w:t>
            </w:r>
          </w:p>
        </w:tc>
      </w:tr>
      <w:tr w:rsidR="00FE5039" w:rsidRPr="003E3916"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208" w:type="dxa"/>
            <w:tcBorders>
              <w:left w:val="nil"/>
              <w:right w:val="nil"/>
            </w:tcBorders>
            <w:shd w:val="clear" w:color="auto" w:fill="auto"/>
          </w:tcPr>
          <w:p w:rsidR="00FE5039" w:rsidRPr="00AD391B" w:rsidRDefault="00FE5039" w:rsidP="00160B90">
            <w:pPr>
              <w:spacing w:line="259" w:lineRule="auto"/>
              <w:jc w:val="right"/>
              <w:rPr>
                <w:lang w:val="sr-Cyrl-RS"/>
              </w:rPr>
            </w:pPr>
            <w:r>
              <w:rPr>
                <w:lang w:val="sr-Cyrl-RS"/>
              </w:rPr>
              <w:t>2017</w:t>
            </w:r>
          </w:p>
        </w:tc>
        <w:tc>
          <w:tcPr>
            <w:tcW w:w="1344" w:type="dxa"/>
            <w:tcBorders>
              <w:left w:val="nil"/>
            </w:tcBorders>
            <w:shd w:val="clear" w:color="auto" w:fill="auto"/>
          </w:tcPr>
          <w:p w:rsidR="00FE5039" w:rsidRPr="00321EE6" w:rsidRDefault="00FE5039" w:rsidP="00B03CC0">
            <w:pPr>
              <w:tabs>
                <w:tab w:val="left" w:pos="1125"/>
              </w:tabs>
              <w:spacing w:line="259" w:lineRule="auto"/>
              <w:jc w:val="right"/>
              <w:cnfStyle w:val="000000010000" w:firstRow="0" w:lastRow="0" w:firstColumn="0" w:lastColumn="0" w:oddVBand="0" w:evenVBand="0" w:oddHBand="0" w:evenHBand="1" w:firstRowFirstColumn="0" w:firstRowLastColumn="0" w:lastRowFirstColumn="0" w:lastRowLastColumn="0"/>
              <w:rPr>
                <w:lang w:val="sr-Cyrl-RS"/>
              </w:rPr>
            </w:pPr>
            <w:r>
              <w:rPr>
                <w:lang w:val="sr-Cyrl-RS"/>
              </w:rPr>
              <w:t>477</w:t>
            </w:r>
          </w:p>
        </w:tc>
        <w:tc>
          <w:tcPr>
            <w:tcW w:w="1595" w:type="dxa"/>
          </w:tcPr>
          <w:p w:rsidR="00FE5039" w:rsidRPr="00321EE6" w:rsidRDefault="00FE5039" w:rsidP="00160B90">
            <w:pPr>
              <w:spacing w:line="259" w:lineRule="auto"/>
              <w:ind w:right="46"/>
              <w:jc w:val="right"/>
              <w:cnfStyle w:val="000000010000" w:firstRow="0" w:lastRow="0" w:firstColumn="0" w:lastColumn="0" w:oddVBand="0" w:evenVBand="0" w:oddHBand="0" w:evenHBand="1" w:firstRowFirstColumn="0" w:firstRowLastColumn="0" w:lastRowFirstColumn="0" w:lastRowLastColumn="0"/>
              <w:rPr>
                <w:lang w:val="sr-Cyrl-RS"/>
              </w:rPr>
            </w:pPr>
            <w:r>
              <w:rPr>
                <w:lang w:val="sr-Cyrl-RS"/>
              </w:rPr>
              <w:t>7</w:t>
            </w:r>
          </w:p>
        </w:tc>
        <w:tc>
          <w:tcPr>
            <w:tcW w:w="1631" w:type="dxa"/>
          </w:tcPr>
          <w:p w:rsidR="00FE5039" w:rsidRPr="00321EE6" w:rsidRDefault="00FE5039" w:rsidP="00160B90">
            <w:pPr>
              <w:spacing w:line="259" w:lineRule="auto"/>
              <w:ind w:right="45"/>
              <w:jc w:val="right"/>
              <w:cnfStyle w:val="000000010000" w:firstRow="0" w:lastRow="0" w:firstColumn="0" w:lastColumn="0" w:oddVBand="0" w:evenVBand="0" w:oddHBand="0" w:evenHBand="1" w:firstRowFirstColumn="0" w:firstRowLastColumn="0" w:lastRowFirstColumn="0" w:lastRowLastColumn="0"/>
              <w:rPr>
                <w:lang w:val="sr-Cyrl-RS"/>
              </w:rPr>
            </w:pPr>
            <w:r>
              <w:rPr>
                <w:lang w:val="sr-Cyrl-RS"/>
              </w:rPr>
              <w:t>57</w:t>
            </w:r>
          </w:p>
        </w:tc>
        <w:tc>
          <w:tcPr>
            <w:tcW w:w="1593" w:type="dxa"/>
          </w:tcPr>
          <w:p w:rsidR="00FE5039" w:rsidRPr="00321EE6" w:rsidRDefault="00FE5039" w:rsidP="00B03CC0">
            <w:pPr>
              <w:spacing w:line="259" w:lineRule="auto"/>
              <w:ind w:right="45"/>
              <w:jc w:val="right"/>
              <w:cnfStyle w:val="000000010000" w:firstRow="0" w:lastRow="0" w:firstColumn="0" w:lastColumn="0" w:oddVBand="0" w:evenVBand="0" w:oddHBand="0" w:evenHBand="1" w:firstRowFirstColumn="0" w:firstRowLastColumn="0" w:lastRowFirstColumn="0" w:lastRowLastColumn="0"/>
              <w:rPr>
                <w:lang w:val="sr-Cyrl-RS"/>
              </w:rPr>
            </w:pPr>
            <w:r>
              <w:rPr>
                <w:lang w:val="sr-Cyrl-RS"/>
              </w:rPr>
              <w:t>11,9</w:t>
            </w:r>
          </w:p>
        </w:tc>
      </w:tr>
      <w:tr w:rsidR="00FE5039" w:rsidRPr="003E3916" w:rsidTr="00B03CC0">
        <w:trPr>
          <w:cnfStyle w:val="000000100000" w:firstRow="0" w:lastRow="0" w:firstColumn="0" w:lastColumn="0" w:oddVBand="0" w:evenVBand="0" w:oddHBand="1" w:evenHBand="0" w:firstRowFirstColumn="0" w:firstRowLastColumn="0" w:lastRowFirstColumn="0" w:lastRowLastColumn="0"/>
          <w:trHeight w:val="264"/>
          <w:jc w:val="center"/>
        </w:trPr>
        <w:tc>
          <w:tcPr>
            <w:cnfStyle w:val="001000000000" w:firstRow="0" w:lastRow="0" w:firstColumn="1" w:lastColumn="0" w:oddVBand="0" w:evenVBand="0" w:oddHBand="0" w:evenHBand="0" w:firstRowFirstColumn="0" w:firstRowLastColumn="0" w:lastRowFirstColumn="0" w:lastRowLastColumn="0"/>
            <w:tcW w:w="1208" w:type="dxa"/>
            <w:tcBorders>
              <w:right w:val="none" w:sz="0" w:space="0" w:color="auto"/>
            </w:tcBorders>
          </w:tcPr>
          <w:p w:rsidR="00FE5039" w:rsidRPr="003E3916" w:rsidRDefault="00FE5039" w:rsidP="00160B90">
            <w:pPr>
              <w:spacing w:line="259" w:lineRule="auto"/>
              <w:jc w:val="right"/>
              <w:rPr>
                <w:b/>
                <w:i w:val="0"/>
              </w:rPr>
            </w:pPr>
            <w:r w:rsidRPr="003E3916">
              <w:rPr>
                <w:b/>
                <w:i w:val="0"/>
              </w:rPr>
              <w:t xml:space="preserve">Укупно </w:t>
            </w:r>
          </w:p>
        </w:tc>
        <w:tc>
          <w:tcPr>
            <w:tcW w:w="1344" w:type="dxa"/>
          </w:tcPr>
          <w:p w:rsidR="00FE5039" w:rsidRPr="00321EE6" w:rsidRDefault="00FE5039" w:rsidP="00B03CC0">
            <w:pPr>
              <w:tabs>
                <w:tab w:val="left" w:pos="1125"/>
              </w:tabs>
              <w:spacing w:line="259" w:lineRule="auto"/>
              <w:ind w:right="49"/>
              <w:jc w:val="right"/>
              <w:cnfStyle w:val="000000100000" w:firstRow="0" w:lastRow="0" w:firstColumn="0" w:lastColumn="0" w:oddVBand="0" w:evenVBand="0" w:oddHBand="1" w:evenHBand="0" w:firstRowFirstColumn="0" w:firstRowLastColumn="0" w:lastRowFirstColumn="0" w:lastRowLastColumn="0"/>
              <w:rPr>
                <w:b/>
                <w:lang w:val="sr-Cyrl-RS"/>
              </w:rPr>
            </w:pPr>
            <w:r>
              <w:rPr>
                <w:b/>
                <w:lang w:val="sr-Cyrl-RS"/>
              </w:rPr>
              <w:t>4961</w:t>
            </w:r>
          </w:p>
        </w:tc>
        <w:tc>
          <w:tcPr>
            <w:tcW w:w="1595" w:type="dxa"/>
          </w:tcPr>
          <w:p w:rsidR="00FE5039" w:rsidRPr="00321EE6" w:rsidRDefault="00FE5039" w:rsidP="00B03CC0">
            <w:pPr>
              <w:spacing w:line="259" w:lineRule="auto"/>
              <w:ind w:right="49"/>
              <w:jc w:val="right"/>
              <w:cnfStyle w:val="000000100000" w:firstRow="0" w:lastRow="0" w:firstColumn="0" w:lastColumn="0" w:oddVBand="0" w:evenVBand="0" w:oddHBand="1" w:evenHBand="0" w:firstRowFirstColumn="0" w:firstRowLastColumn="0" w:lastRowFirstColumn="0" w:lastRowLastColumn="0"/>
              <w:rPr>
                <w:b/>
                <w:lang w:val="sr-Cyrl-RS"/>
              </w:rPr>
            </w:pPr>
            <w:r>
              <w:rPr>
                <w:b/>
                <w:lang w:val="sr-Cyrl-RS"/>
              </w:rPr>
              <w:t>142</w:t>
            </w:r>
          </w:p>
        </w:tc>
        <w:tc>
          <w:tcPr>
            <w:tcW w:w="1631" w:type="dxa"/>
          </w:tcPr>
          <w:p w:rsidR="00FE5039" w:rsidRPr="006B4CDC" w:rsidRDefault="00FE5039" w:rsidP="00B03CC0">
            <w:pPr>
              <w:spacing w:line="259" w:lineRule="auto"/>
              <w:ind w:right="47"/>
              <w:jc w:val="right"/>
              <w:cnfStyle w:val="000000100000" w:firstRow="0" w:lastRow="0" w:firstColumn="0" w:lastColumn="0" w:oddVBand="0" w:evenVBand="0" w:oddHBand="1" w:evenHBand="0" w:firstRowFirstColumn="0" w:firstRowLastColumn="0" w:lastRowFirstColumn="0" w:lastRowLastColumn="0"/>
              <w:rPr>
                <w:b/>
                <w:lang w:val="sr-Cyrl-RS"/>
              </w:rPr>
            </w:pPr>
            <w:r>
              <w:rPr>
                <w:b/>
                <w:lang w:val="sr-Cyrl-RS"/>
              </w:rPr>
              <w:t>876</w:t>
            </w:r>
          </w:p>
        </w:tc>
        <w:tc>
          <w:tcPr>
            <w:tcW w:w="1593" w:type="dxa"/>
          </w:tcPr>
          <w:p w:rsidR="00FE5039" w:rsidRPr="00321EE6" w:rsidRDefault="00FE5039" w:rsidP="00B03CC0">
            <w:pPr>
              <w:spacing w:line="259" w:lineRule="auto"/>
              <w:ind w:right="47"/>
              <w:jc w:val="right"/>
              <w:cnfStyle w:val="000000100000" w:firstRow="0" w:lastRow="0" w:firstColumn="0" w:lastColumn="0" w:oddVBand="0" w:evenVBand="0" w:oddHBand="1" w:evenHBand="0" w:firstRowFirstColumn="0" w:firstRowLastColumn="0" w:lastRowFirstColumn="0" w:lastRowLastColumn="0"/>
              <w:rPr>
                <w:b/>
                <w:lang w:val="sr-Cyrl-RS"/>
              </w:rPr>
            </w:pPr>
            <w:r>
              <w:rPr>
                <w:b/>
                <w:lang w:val="sr-Cyrl-RS"/>
              </w:rPr>
              <w:t>17,6</w:t>
            </w:r>
          </w:p>
        </w:tc>
      </w:tr>
    </w:tbl>
    <w:p w:rsidR="00A369D0" w:rsidRDefault="00A369D0" w:rsidP="00B03CC0"/>
    <w:p w:rsidR="00FE5039" w:rsidRPr="009254FB" w:rsidRDefault="00FE5039" w:rsidP="00B03CC0">
      <w:pPr>
        <w:pStyle w:val="Heading3"/>
        <w:rPr>
          <w:b/>
          <w:color w:val="auto"/>
        </w:rPr>
      </w:pPr>
      <w:bookmarkStart w:id="25" w:name="_Toc389134526"/>
      <w:bookmarkStart w:id="26" w:name="_Toc515520361"/>
      <w:bookmarkStart w:id="27" w:name="_Toc515524203"/>
      <w:r w:rsidRPr="009254FB">
        <w:rPr>
          <w:b/>
          <w:color w:val="auto"/>
        </w:rPr>
        <w:t>Trichinellosis</w:t>
      </w:r>
      <w:bookmarkEnd w:id="25"/>
      <w:bookmarkEnd w:id="26"/>
      <w:bookmarkEnd w:id="27"/>
      <w:r w:rsidRPr="009254FB">
        <w:rPr>
          <w:b/>
          <w:color w:val="auto"/>
        </w:rPr>
        <w:t xml:space="preserve"> </w:t>
      </w:r>
    </w:p>
    <w:p w:rsidR="00FE5039" w:rsidRPr="00E630DF" w:rsidRDefault="00FE5039" w:rsidP="00B03CC0">
      <w:pPr>
        <w:shd w:val="clear" w:color="auto" w:fill="FFFFFF" w:themeFill="background1"/>
      </w:pPr>
      <w:r w:rsidRPr="00CA2848">
        <w:rPr>
          <w:rFonts w:cs="Arial"/>
          <w:lang w:val="ru-RU"/>
        </w:rPr>
        <w:t xml:space="preserve">Трихинелоза је </w:t>
      </w:r>
      <w:r w:rsidRPr="00CA2848">
        <w:t xml:space="preserve">једна је од најчешћих зооноза у АП Војводини. Због распрострањености жаришта трихинелозе и пропуста у спровођењу превентивних мера, епидемије трихинелозе се континуирано региструју. У посматраном десетогодишњем периоду број регистрованих </w:t>
      </w:r>
      <w:r w:rsidRPr="00A64EAF">
        <w:t xml:space="preserve">епидемија трихинелозе се кретао од </w:t>
      </w:r>
      <w:r w:rsidRPr="00605635">
        <w:t xml:space="preserve">једне </w:t>
      </w:r>
      <w:r>
        <w:t xml:space="preserve">(2011, </w:t>
      </w:r>
      <w:r w:rsidRPr="00605635">
        <w:t>2012.</w:t>
      </w:r>
      <w:r>
        <w:t xml:space="preserve"> и </w:t>
      </w:r>
      <w:r>
        <w:rPr>
          <w:lang w:val="sr-Cyrl-RS"/>
        </w:rPr>
        <w:t>2017.</w:t>
      </w:r>
      <w:r w:rsidRPr="00605635">
        <w:t xml:space="preserve"> година) </w:t>
      </w:r>
      <w:r>
        <w:t>до 10 (2013</w:t>
      </w:r>
      <w:r w:rsidRPr="00605635">
        <w:t xml:space="preserve">. године). Број оболелих у епидемијама у просеку чини </w:t>
      </w:r>
      <w:r>
        <w:t>90</w:t>
      </w:r>
      <w:r w:rsidRPr="00C975C8">
        <w:t>%</w:t>
      </w:r>
      <w:r w:rsidRPr="00605635">
        <w:t xml:space="preserve"> укупног броја регистрованих случајева трихинелозе у АП Војводини (табела </w:t>
      </w:r>
      <w:r w:rsidR="00073649">
        <w:t>1</w:t>
      </w:r>
      <w:r>
        <w:t>0</w:t>
      </w:r>
      <w:r w:rsidRPr="00605635">
        <w:t>).</w:t>
      </w:r>
      <w:r>
        <w:t xml:space="preserve"> </w:t>
      </w:r>
    </w:p>
    <w:p w:rsidR="00FE5039" w:rsidRPr="00E630DF" w:rsidRDefault="00073649" w:rsidP="00B03CC0">
      <w:pPr>
        <w:pStyle w:val="Caption"/>
        <w:spacing w:after="160"/>
      </w:pPr>
      <w:r>
        <w:t>Табела 1</w:t>
      </w:r>
      <w:r w:rsidR="00FE5039">
        <w:t>0.</w:t>
      </w:r>
      <w:r w:rsidR="00FE5039" w:rsidRPr="00E630DF">
        <w:t xml:space="preserve"> Епидемије Trichinellosis у АП Војводини</w:t>
      </w:r>
      <w:r w:rsidR="00FE5039">
        <w:t xml:space="preserve"> у периоду од </w:t>
      </w:r>
      <w:r w:rsidR="00FE5039" w:rsidRPr="0011401D">
        <w:t>200</w:t>
      </w:r>
      <w:r w:rsidR="00FE5039">
        <w:t>8</w:t>
      </w:r>
      <w:r w:rsidR="00FE5039" w:rsidRPr="0011401D">
        <w:t xml:space="preserve">. </w:t>
      </w:r>
      <w:r w:rsidR="00FE5039">
        <w:t>до</w:t>
      </w:r>
      <w:r w:rsidR="00FE5039" w:rsidRPr="0011401D">
        <w:t xml:space="preserve"> 201</w:t>
      </w:r>
      <w:r w:rsidR="00FE5039">
        <w:t>7</w:t>
      </w:r>
      <w:r w:rsidR="00FE5039" w:rsidRPr="0011401D">
        <w:t>. годин</w:t>
      </w:r>
      <w:r w:rsidR="00FE5039">
        <w:t>е</w:t>
      </w:r>
    </w:p>
    <w:tbl>
      <w:tblPr>
        <w:tblStyle w:val="PlainTable51"/>
        <w:tblW w:w="7655" w:type="dxa"/>
        <w:jc w:val="center"/>
        <w:tblLayout w:type="fixed"/>
        <w:tblLook w:val="04A0" w:firstRow="1" w:lastRow="0" w:firstColumn="1" w:lastColumn="0" w:noHBand="0" w:noVBand="1"/>
      </w:tblPr>
      <w:tblGrid>
        <w:gridCol w:w="1173"/>
        <w:gridCol w:w="1186"/>
        <w:gridCol w:w="1305"/>
        <w:gridCol w:w="2007"/>
        <w:gridCol w:w="1984"/>
      </w:tblGrid>
      <w:tr w:rsidR="00FE5039" w:rsidRPr="00231FAD" w:rsidTr="00231FAD">
        <w:trPr>
          <w:cnfStyle w:val="100000000000" w:firstRow="1" w:lastRow="0" w:firstColumn="0" w:lastColumn="0" w:oddVBand="0" w:evenVBand="0" w:oddHBand="0" w:evenHBand="0" w:firstRowFirstColumn="0" w:firstRowLastColumn="0" w:lastRowFirstColumn="0" w:lastRowLastColumn="0"/>
          <w:trHeight w:val="274"/>
          <w:jc w:val="center"/>
        </w:trPr>
        <w:tc>
          <w:tcPr>
            <w:cnfStyle w:val="001000000100" w:firstRow="0" w:lastRow="0" w:firstColumn="1" w:lastColumn="0" w:oddVBand="0" w:evenVBand="0" w:oddHBand="0" w:evenHBand="0" w:firstRowFirstColumn="1" w:firstRowLastColumn="0" w:lastRowFirstColumn="0" w:lastRowLastColumn="0"/>
            <w:tcW w:w="1173" w:type="dxa"/>
          </w:tcPr>
          <w:p w:rsidR="00FE5039" w:rsidRPr="00231FAD" w:rsidRDefault="00FE5039" w:rsidP="00160B90">
            <w:pPr>
              <w:spacing w:line="259" w:lineRule="auto"/>
              <w:ind w:right="95"/>
              <w:jc w:val="right"/>
              <w:rPr>
                <w:i w:val="0"/>
              </w:rPr>
            </w:pPr>
            <w:r w:rsidRPr="00231FAD">
              <w:rPr>
                <w:i w:val="0"/>
                <w:color w:val="FFFFFF"/>
              </w:rPr>
              <w:t xml:space="preserve">Година </w:t>
            </w:r>
          </w:p>
        </w:tc>
        <w:tc>
          <w:tcPr>
            <w:tcW w:w="1186" w:type="dxa"/>
          </w:tcPr>
          <w:p w:rsidR="00FE5039" w:rsidRPr="00231FAD" w:rsidRDefault="00FE5039" w:rsidP="00160B90">
            <w:pPr>
              <w:spacing w:line="259" w:lineRule="auto"/>
              <w:ind w:left="1"/>
              <w:jc w:val="right"/>
              <w:cnfStyle w:val="100000000000" w:firstRow="1" w:lastRow="0" w:firstColumn="0" w:lastColumn="0" w:oddVBand="0" w:evenVBand="0" w:oddHBand="0" w:evenHBand="0" w:firstRowFirstColumn="0" w:firstRowLastColumn="0" w:lastRowFirstColumn="0" w:lastRowLastColumn="0"/>
              <w:rPr>
                <w:i w:val="0"/>
                <w:color w:val="FFFFFF"/>
              </w:rPr>
            </w:pPr>
            <w:r w:rsidRPr="00231FAD">
              <w:rPr>
                <w:i w:val="0"/>
                <w:color w:val="FFFFFF"/>
              </w:rPr>
              <w:t>Број оболелих</w:t>
            </w:r>
          </w:p>
        </w:tc>
        <w:tc>
          <w:tcPr>
            <w:tcW w:w="1305" w:type="dxa"/>
          </w:tcPr>
          <w:p w:rsidR="00FE5039" w:rsidRPr="00231FAD" w:rsidRDefault="00FE5039" w:rsidP="00160B90">
            <w:pPr>
              <w:spacing w:line="259" w:lineRule="auto"/>
              <w:ind w:left="1"/>
              <w:jc w:val="right"/>
              <w:cnfStyle w:val="100000000000" w:firstRow="1" w:lastRow="0" w:firstColumn="0" w:lastColumn="0" w:oddVBand="0" w:evenVBand="0" w:oddHBand="0" w:evenHBand="0" w:firstRowFirstColumn="0" w:firstRowLastColumn="0" w:lastRowFirstColumn="0" w:lastRowLastColumn="0"/>
              <w:rPr>
                <w:i w:val="0"/>
              </w:rPr>
            </w:pPr>
            <w:r w:rsidRPr="00231FAD">
              <w:rPr>
                <w:i w:val="0"/>
                <w:color w:val="FFFFFF"/>
              </w:rPr>
              <w:t xml:space="preserve">Број епидемија </w:t>
            </w:r>
          </w:p>
        </w:tc>
        <w:tc>
          <w:tcPr>
            <w:tcW w:w="2007" w:type="dxa"/>
          </w:tcPr>
          <w:p w:rsidR="00FE5039" w:rsidRPr="00231FAD" w:rsidRDefault="00FE5039" w:rsidP="00160B90">
            <w:pPr>
              <w:spacing w:line="259" w:lineRule="auto"/>
              <w:ind w:left="1"/>
              <w:jc w:val="right"/>
              <w:cnfStyle w:val="100000000000" w:firstRow="1" w:lastRow="0" w:firstColumn="0" w:lastColumn="0" w:oddVBand="0" w:evenVBand="0" w:oddHBand="0" w:evenHBand="0" w:firstRowFirstColumn="0" w:firstRowLastColumn="0" w:lastRowFirstColumn="0" w:lastRowLastColumn="0"/>
              <w:rPr>
                <w:i w:val="0"/>
                <w:color w:val="FFFFFF"/>
              </w:rPr>
            </w:pPr>
            <w:r w:rsidRPr="00231FAD">
              <w:rPr>
                <w:i w:val="0"/>
                <w:color w:val="FFFFFF"/>
              </w:rPr>
              <w:t xml:space="preserve">Број оболелих </w:t>
            </w:r>
          </w:p>
          <w:p w:rsidR="00FE5039" w:rsidRPr="00231FAD" w:rsidRDefault="00FE5039" w:rsidP="00160B90">
            <w:pPr>
              <w:spacing w:line="259" w:lineRule="auto"/>
              <w:ind w:left="1"/>
              <w:jc w:val="right"/>
              <w:cnfStyle w:val="100000000000" w:firstRow="1" w:lastRow="0" w:firstColumn="0" w:lastColumn="0" w:oddVBand="0" w:evenVBand="0" w:oddHBand="0" w:evenHBand="0" w:firstRowFirstColumn="0" w:firstRowLastColumn="0" w:lastRowFirstColumn="0" w:lastRowLastColumn="0"/>
              <w:rPr>
                <w:i w:val="0"/>
              </w:rPr>
            </w:pPr>
            <w:r w:rsidRPr="00231FAD">
              <w:rPr>
                <w:i w:val="0"/>
                <w:color w:val="FFFFFF"/>
              </w:rPr>
              <w:t xml:space="preserve">У епидемијама </w:t>
            </w:r>
          </w:p>
        </w:tc>
        <w:tc>
          <w:tcPr>
            <w:tcW w:w="1984" w:type="dxa"/>
          </w:tcPr>
          <w:p w:rsidR="00FE5039" w:rsidRPr="00231FAD" w:rsidRDefault="00FE5039" w:rsidP="00160B90">
            <w:pPr>
              <w:spacing w:line="259" w:lineRule="auto"/>
              <w:ind w:left="1"/>
              <w:jc w:val="right"/>
              <w:cnfStyle w:val="100000000000" w:firstRow="1" w:lastRow="0" w:firstColumn="0" w:lastColumn="0" w:oddVBand="0" w:evenVBand="0" w:oddHBand="0" w:evenHBand="0" w:firstRowFirstColumn="0" w:firstRowLastColumn="0" w:lastRowFirstColumn="0" w:lastRowLastColumn="0"/>
              <w:rPr>
                <w:i w:val="0"/>
                <w:color w:val="FFFFFF"/>
              </w:rPr>
            </w:pPr>
            <w:r>
              <w:rPr>
                <w:i w:val="0"/>
                <w:color w:val="FFFFFF"/>
              </w:rPr>
              <w:t>Учешће</w:t>
            </w:r>
            <w:r w:rsidRPr="00231FAD">
              <w:rPr>
                <w:i w:val="0"/>
                <w:color w:val="FFFFFF"/>
              </w:rPr>
              <w:t xml:space="preserve"> оболелих у епидемијама (%)</w:t>
            </w:r>
          </w:p>
        </w:tc>
      </w:tr>
      <w:tr w:rsidR="00FE5039" w:rsidRPr="00231FAD" w:rsidTr="00231FAD">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173" w:type="dxa"/>
          </w:tcPr>
          <w:p w:rsidR="00FE5039" w:rsidRPr="00231FAD" w:rsidRDefault="00FE5039" w:rsidP="00B03CC0">
            <w:pPr>
              <w:spacing w:line="259" w:lineRule="auto"/>
              <w:jc w:val="right"/>
              <w:rPr>
                <w:i w:val="0"/>
              </w:rPr>
            </w:pPr>
            <w:r>
              <w:rPr>
                <w:i w:val="0"/>
              </w:rPr>
              <w:t>2008</w:t>
            </w:r>
            <w:r w:rsidRPr="00231FAD">
              <w:rPr>
                <w:i w:val="0"/>
              </w:rPr>
              <w:t xml:space="preserve"> </w:t>
            </w:r>
          </w:p>
        </w:tc>
        <w:tc>
          <w:tcPr>
            <w:tcW w:w="1186" w:type="dxa"/>
          </w:tcPr>
          <w:p w:rsidR="00FE5039" w:rsidRPr="00231FAD" w:rsidRDefault="00FE5039" w:rsidP="00B03CC0">
            <w:pPr>
              <w:spacing w:line="259" w:lineRule="auto"/>
              <w:ind w:right="90"/>
              <w:jc w:val="right"/>
              <w:cnfStyle w:val="000000100000" w:firstRow="0" w:lastRow="0" w:firstColumn="0" w:lastColumn="0" w:oddVBand="0" w:evenVBand="0" w:oddHBand="1" w:evenHBand="0" w:firstRowFirstColumn="0" w:firstRowLastColumn="0" w:lastRowFirstColumn="0" w:lastRowLastColumn="0"/>
            </w:pPr>
            <w:r w:rsidRPr="00231FAD">
              <w:t>55</w:t>
            </w:r>
          </w:p>
        </w:tc>
        <w:tc>
          <w:tcPr>
            <w:tcW w:w="1305" w:type="dxa"/>
          </w:tcPr>
          <w:p w:rsidR="00FE5039" w:rsidRPr="00231FAD" w:rsidRDefault="00FE5039" w:rsidP="00B03CC0">
            <w:pPr>
              <w:spacing w:line="259" w:lineRule="auto"/>
              <w:ind w:right="90"/>
              <w:jc w:val="right"/>
              <w:cnfStyle w:val="000000100000" w:firstRow="0" w:lastRow="0" w:firstColumn="0" w:lastColumn="0" w:oddVBand="0" w:evenVBand="0" w:oddHBand="1" w:evenHBand="0" w:firstRowFirstColumn="0" w:firstRowLastColumn="0" w:lastRowFirstColumn="0" w:lastRowLastColumn="0"/>
            </w:pPr>
            <w:r w:rsidRPr="00231FAD">
              <w:t>5</w:t>
            </w:r>
            <w:r>
              <w:t xml:space="preserve"> </w:t>
            </w:r>
          </w:p>
        </w:tc>
        <w:tc>
          <w:tcPr>
            <w:tcW w:w="2007" w:type="dxa"/>
          </w:tcPr>
          <w:p w:rsidR="00FE5039" w:rsidRPr="00231FAD" w:rsidRDefault="00FE5039" w:rsidP="00B03CC0">
            <w:pPr>
              <w:spacing w:line="259" w:lineRule="auto"/>
              <w:ind w:right="87"/>
              <w:jc w:val="right"/>
              <w:cnfStyle w:val="000000100000" w:firstRow="0" w:lastRow="0" w:firstColumn="0" w:lastColumn="0" w:oddVBand="0" w:evenVBand="0" w:oddHBand="1" w:evenHBand="0" w:firstRowFirstColumn="0" w:firstRowLastColumn="0" w:lastRowFirstColumn="0" w:lastRowLastColumn="0"/>
            </w:pPr>
            <w:r w:rsidRPr="00231FAD">
              <w:t xml:space="preserve">51 </w:t>
            </w:r>
          </w:p>
        </w:tc>
        <w:tc>
          <w:tcPr>
            <w:tcW w:w="1984" w:type="dxa"/>
          </w:tcPr>
          <w:p w:rsidR="00FE5039" w:rsidRPr="00231FAD" w:rsidRDefault="00FE5039" w:rsidP="00B03CC0">
            <w:pPr>
              <w:spacing w:line="259" w:lineRule="auto"/>
              <w:ind w:right="87"/>
              <w:jc w:val="right"/>
              <w:cnfStyle w:val="000000100000" w:firstRow="0" w:lastRow="0" w:firstColumn="0" w:lastColumn="0" w:oddVBand="0" w:evenVBand="0" w:oddHBand="1" w:evenHBand="0" w:firstRowFirstColumn="0" w:firstRowLastColumn="0" w:lastRowFirstColumn="0" w:lastRowLastColumn="0"/>
            </w:pPr>
            <w:r w:rsidRPr="00231FAD">
              <w:t>92,7</w:t>
            </w:r>
          </w:p>
        </w:tc>
      </w:tr>
      <w:tr w:rsidR="00FE5039" w:rsidRPr="00231FAD" w:rsidTr="00231FAD">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173" w:type="dxa"/>
          </w:tcPr>
          <w:p w:rsidR="00FE5039" w:rsidRPr="00231FAD" w:rsidRDefault="00FE5039" w:rsidP="00B03CC0">
            <w:pPr>
              <w:spacing w:line="259" w:lineRule="auto"/>
              <w:jc w:val="right"/>
              <w:rPr>
                <w:i w:val="0"/>
              </w:rPr>
            </w:pPr>
            <w:r>
              <w:rPr>
                <w:i w:val="0"/>
              </w:rPr>
              <w:t>2009</w:t>
            </w:r>
            <w:r w:rsidRPr="00231FAD">
              <w:rPr>
                <w:i w:val="0"/>
              </w:rPr>
              <w:t xml:space="preserve"> </w:t>
            </w:r>
          </w:p>
        </w:tc>
        <w:tc>
          <w:tcPr>
            <w:tcW w:w="1186" w:type="dxa"/>
          </w:tcPr>
          <w:p w:rsidR="00FE5039" w:rsidRPr="00231FAD" w:rsidRDefault="00FE5039" w:rsidP="00B03CC0">
            <w:pPr>
              <w:spacing w:line="259" w:lineRule="auto"/>
              <w:ind w:right="90"/>
              <w:jc w:val="right"/>
              <w:cnfStyle w:val="000000010000" w:firstRow="0" w:lastRow="0" w:firstColumn="0" w:lastColumn="0" w:oddVBand="0" w:evenVBand="0" w:oddHBand="0" w:evenHBand="1" w:firstRowFirstColumn="0" w:firstRowLastColumn="0" w:lastRowFirstColumn="0" w:lastRowLastColumn="0"/>
            </w:pPr>
            <w:r w:rsidRPr="00231FAD">
              <w:t>44</w:t>
            </w:r>
          </w:p>
        </w:tc>
        <w:tc>
          <w:tcPr>
            <w:tcW w:w="1305" w:type="dxa"/>
          </w:tcPr>
          <w:p w:rsidR="00FE5039" w:rsidRPr="00231FAD" w:rsidRDefault="00FE5039" w:rsidP="00B03CC0">
            <w:pPr>
              <w:spacing w:line="259" w:lineRule="auto"/>
              <w:ind w:right="90"/>
              <w:jc w:val="right"/>
              <w:cnfStyle w:val="000000010000" w:firstRow="0" w:lastRow="0" w:firstColumn="0" w:lastColumn="0" w:oddVBand="0" w:evenVBand="0" w:oddHBand="0" w:evenHBand="1" w:firstRowFirstColumn="0" w:firstRowLastColumn="0" w:lastRowFirstColumn="0" w:lastRowLastColumn="0"/>
            </w:pPr>
            <w:r w:rsidRPr="00231FAD">
              <w:t xml:space="preserve">3 </w:t>
            </w:r>
          </w:p>
        </w:tc>
        <w:tc>
          <w:tcPr>
            <w:tcW w:w="2007" w:type="dxa"/>
          </w:tcPr>
          <w:p w:rsidR="00FE5039" w:rsidRPr="00231FAD" w:rsidRDefault="00FE5039" w:rsidP="00B03CC0">
            <w:pPr>
              <w:spacing w:line="259" w:lineRule="auto"/>
              <w:ind w:right="87"/>
              <w:jc w:val="right"/>
              <w:cnfStyle w:val="000000010000" w:firstRow="0" w:lastRow="0" w:firstColumn="0" w:lastColumn="0" w:oddVBand="0" w:evenVBand="0" w:oddHBand="0" w:evenHBand="1" w:firstRowFirstColumn="0" w:firstRowLastColumn="0" w:lastRowFirstColumn="0" w:lastRowLastColumn="0"/>
            </w:pPr>
            <w:r w:rsidRPr="00231FAD">
              <w:t xml:space="preserve">43 </w:t>
            </w:r>
          </w:p>
        </w:tc>
        <w:tc>
          <w:tcPr>
            <w:tcW w:w="1984" w:type="dxa"/>
          </w:tcPr>
          <w:p w:rsidR="00FE5039" w:rsidRPr="00231FAD" w:rsidRDefault="00FE5039" w:rsidP="00B03CC0">
            <w:pPr>
              <w:spacing w:line="259" w:lineRule="auto"/>
              <w:ind w:right="87"/>
              <w:jc w:val="right"/>
              <w:cnfStyle w:val="000000010000" w:firstRow="0" w:lastRow="0" w:firstColumn="0" w:lastColumn="0" w:oddVBand="0" w:evenVBand="0" w:oddHBand="0" w:evenHBand="1" w:firstRowFirstColumn="0" w:firstRowLastColumn="0" w:lastRowFirstColumn="0" w:lastRowLastColumn="0"/>
            </w:pPr>
            <w:r w:rsidRPr="00231FAD">
              <w:t>97,7</w:t>
            </w:r>
          </w:p>
        </w:tc>
      </w:tr>
      <w:tr w:rsidR="00FE5039" w:rsidRPr="00231FAD" w:rsidTr="00231FAD">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173" w:type="dxa"/>
          </w:tcPr>
          <w:p w:rsidR="00FE5039" w:rsidRPr="00231FAD" w:rsidRDefault="00FE5039" w:rsidP="00B03CC0">
            <w:pPr>
              <w:spacing w:line="259" w:lineRule="auto"/>
              <w:jc w:val="right"/>
              <w:rPr>
                <w:i w:val="0"/>
              </w:rPr>
            </w:pPr>
            <w:r>
              <w:rPr>
                <w:i w:val="0"/>
              </w:rPr>
              <w:t>2010</w:t>
            </w:r>
            <w:r w:rsidRPr="00231FAD">
              <w:rPr>
                <w:i w:val="0"/>
              </w:rPr>
              <w:t xml:space="preserve"> </w:t>
            </w:r>
          </w:p>
        </w:tc>
        <w:tc>
          <w:tcPr>
            <w:tcW w:w="1186" w:type="dxa"/>
          </w:tcPr>
          <w:p w:rsidR="00FE5039" w:rsidRPr="00231FAD" w:rsidRDefault="00FE5039" w:rsidP="00B03CC0">
            <w:pPr>
              <w:spacing w:line="259" w:lineRule="auto"/>
              <w:ind w:right="90"/>
              <w:jc w:val="right"/>
              <w:cnfStyle w:val="000000100000" w:firstRow="0" w:lastRow="0" w:firstColumn="0" w:lastColumn="0" w:oddVBand="0" w:evenVBand="0" w:oddHBand="1" w:evenHBand="0" w:firstRowFirstColumn="0" w:firstRowLastColumn="0" w:lastRowFirstColumn="0" w:lastRowLastColumn="0"/>
            </w:pPr>
            <w:r w:rsidRPr="00231FAD">
              <w:t>10</w:t>
            </w:r>
          </w:p>
        </w:tc>
        <w:tc>
          <w:tcPr>
            <w:tcW w:w="1305" w:type="dxa"/>
          </w:tcPr>
          <w:p w:rsidR="00FE5039" w:rsidRPr="00231FAD" w:rsidRDefault="00FE5039" w:rsidP="00B03CC0">
            <w:pPr>
              <w:spacing w:line="259" w:lineRule="auto"/>
              <w:ind w:right="90"/>
              <w:jc w:val="right"/>
              <w:cnfStyle w:val="000000100000" w:firstRow="0" w:lastRow="0" w:firstColumn="0" w:lastColumn="0" w:oddVBand="0" w:evenVBand="0" w:oddHBand="1" w:evenHBand="0" w:firstRowFirstColumn="0" w:firstRowLastColumn="0" w:lastRowFirstColumn="0" w:lastRowLastColumn="0"/>
            </w:pPr>
            <w:r w:rsidRPr="00231FAD">
              <w:t xml:space="preserve">2 </w:t>
            </w:r>
          </w:p>
        </w:tc>
        <w:tc>
          <w:tcPr>
            <w:tcW w:w="2007" w:type="dxa"/>
          </w:tcPr>
          <w:p w:rsidR="00FE5039" w:rsidRPr="00231FAD" w:rsidRDefault="00FE5039" w:rsidP="00B03CC0">
            <w:pPr>
              <w:spacing w:line="259" w:lineRule="auto"/>
              <w:ind w:right="87"/>
              <w:jc w:val="right"/>
              <w:cnfStyle w:val="000000100000" w:firstRow="0" w:lastRow="0" w:firstColumn="0" w:lastColumn="0" w:oddVBand="0" w:evenVBand="0" w:oddHBand="1" w:evenHBand="0" w:firstRowFirstColumn="0" w:firstRowLastColumn="0" w:lastRowFirstColumn="0" w:lastRowLastColumn="0"/>
            </w:pPr>
            <w:r w:rsidRPr="00231FAD">
              <w:t xml:space="preserve">8 </w:t>
            </w:r>
          </w:p>
        </w:tc>
        <w:tc>
          <w:tcPr>
            <w:tcW w:w="1984" w:type="dxa"/>
          </w:tcPr>
          <w:p w:rsidR="00FE5039" w:rsidRPr="00231FAD" w:rsidRDefault="00FE5039" w:rsidP="00B03CC0">
            <w:pPr>
              <w:spacing w:line="259" w:lineRule="auto"/>
              <w:ind w:right="87"/>
              <w:jc w:val="right"/>
              <w:cnfStyle w:val="000000100000" w:firstRow="0" w:lastRow="0" w:firstColumn="0" w:lastColumn="0" w:oddVBand="0" w:evenVBand="0" w:oddHBand="1" w:evenHBand="0" w:firstRowFirstColumn="0" w:firstRowLastColumn="0" w:lastRowFirstColumn="0" w:lastRowLastColumn="0"/>
            </w:pPr>
            <w:r w:rsidRPr="00231FAD">
              <w:t>80,0</w:t>
            </w:r>
          </w:p>
        </w:tc>
      </w:tr>
      <w:tr w:rsidR="00FE5039" w:rsidRPr="00231FAD" w:rsidTr="00231FAD">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173" w:type="dxa"/>
          </w:tcPr>
          <w:p w:rsidR="00FE5039" w:rsidRPr="00231FAD" w:rsidRDefault="00FE5039" w:rsidP="00B03CC0">
            <w:pPr>
              <w:spacing w:line="259" w:lineRule="auto"/>
              <w:jc w:val="right"/>
              <w:rPr>
                <w:i w:val="0"/>
              </w:rPr>
            </w:pPr>
            <w:r>
              <w:rPr>
                <w:i w:val="0"/>
              </w:rPr>
              <w:t>2011</w:t>
            </w:r>
            <w:r w:rsidRPr="00231FAD">
              <w:rPr>
                <w:i w:val="0"/>
              </w:rPr>
              <w:t xml:space="preserve"> </w:t>
            </w:r>
          </w:p>
        </w:tc>
        <w:tc>
          <w:tcPr>
            <w:tcW w:w="1186" w:type="dxa"/>
          </w:tcPr>
          <w:p w:rsidR="00FE5039" w:rsidRPr="00231FAD" w:rsidRDefault="00FE5039" w:rsidP="00B03CC0">
            <w:pPr>
              <w:spacing w:line="259" w:lineRule="auto"/>
              <w:ind w:right="90"/>
              <w:jc w:val="right"/>
              <w:cnfStyle w:val="000000010000" w:firstRow="0" w:lastRow="0" w:firstColumn="0" w:lastColumn="0" w:oddVBand="0" w:evenVBand="0" w:oddHBand="0" w:evenHBand="1" w:firstRowFirstColumn="0" w:firstRowLastColumn="0" w:lastRowFirstColumn="0" w:lastRowLastColumn="0"/>
            </w:pPr>
            <w:r w:rsidRPr="00231FAD">
              <w:t>69</w:t>
            </w:r>
          </w:p>
        </w:tc>
        <w:tc>
          <w:tcPr>
            <w:tcW w:w="1305" w:type="dxa"/>
          </w:tcPr>
          <w:p w:rsidR="00FE5039" w:rsidRPr="00231FAD" w:rsidRDefault="00FE5039" w:rsidP="00B03CC0">
            <w:pPr>
              <w:spacing w:line="259" w:lineRule="auto"/>
              <w:ind w:right="90"/>
              <w:jc w:val="right"/>
              <w:cnfStyle w:val="000000010000" w:firstRow="0" w:lastRow="0" w:firstColumn="0" w:lastColumn="0" w:oddVBand="0" w:evenVBand="0" w:oddHBand="0" w:evenHBand="1" w:firstRowFirstColumn="0" w:firstRowLastColumn="0" w:lastRowFirstColumn="0" w:lastRowLastColumn="0"/>
            </w:pPr>
            <w:r w:rsidRPr="00231FAD">
              <w:t xml:space="preserve">1 </w:t>
            </w:r>
          </w:p>
        </w:tc>
        <w:tc>
          <w:tcPr>
            <w:tcW w:w="2007" w:type="dxa"/>
          </w:tcPr>
          <w:p w:rsidR="00FE5039" w:rsidRPr="00231FAD" w:rsidRDefault="00FE5039" w:rsidP="00B03CC0">
            <w:pPr>
              <w:spacing w:line="259" w:lineRule="auto"/>
              <w:ind w:right="87"/>
              <w:jc w:val="right"/>
              <w:cnfStyle w:val="000000010000" w:firstRow="0" w:lastRow="0" w:firstColumn="0" w:lastColumn="0" w:oddVBand="0" w:evenVBand="0" w:oddHBand="0" w:evenHBand="1" w:firstRowFirstColumn="0" w:firstRowLastColumn="0" w:lastRowFirstColumn="0" w:lastRowLastColumn="0"/>
            </w:pPr>
            <w:r w:rsidRPr="00231FAD">
              <w:t xml:space="preserve">67 </w:t>
            </w:r>
          </w:p>
        </w:tc>
        <w:tc>
          <w:tcPr>
            <w:tcW w:w="1984" w:type="dxa"/>
          </w:tcPr>
          <w:p w:rsidR="00FE5039" w:rsidRPr="00231FAD" w:rsidRDefault="00FE5039" w:rsidP="00B03CC0">
            <w:pPr>
              <w:spacing w:line="259" w:lineRule="auto"/>
              <w:ind w:right="87"/>
              <w:jc w:val="right"/>
              <w:cnfStyle w:val="000000010000" w:firstRow="0" w:lastRow="0" w:firstColumn="0" w:lastColumn="0" w:oddVBand="0" w:evenVBand="0" w:oddHBand="0" w:evenHBand="1" w:firstRowFirstColumn="0" w:firstRowLastColumn="0" w:lastRowFirstColumn="0" w:lastRowLastColumn="0"/>
            </w:pPr>
            <w:r w:rsidRPr="00231FAD">
              <w:t>97,1</w:t>
            </w:r>
          </w:p>
        </w:tc>
      </w:tr>
      <w:tr w:rsidR="00FE5039" w:rsidRPr="00231FAD" w:rsidTr="00231FAD">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173" w:type="dxa"/>
          </w:tcPr>
          <w:p w:rsidR="00FE5039" w:rsidRPr="00231FAD" w:rsidRDefault="00FE5039" w:rsidP="00B03CC0">
            <w:pPr>
              <w:spacing w:line="259" w:lineRule="auto"/>
              <w:jc w:val="right"/>
              <w:rPr>
                <w:i w:val="0"/>
              </w:rPr>
            </w:pPr>
            <w:r>
              <w:rPr>
                <w:i w:val="0"/>
              </w:rPr>
              <w:t>2012</w:t>
            </w:r>
            <w:r w:rsidRPr="00231FAD">
              <w:rPr>
                <w:i w:val="0"/>
              </w:rPr>
              <w:t xml:space="preserve"> </w:t>
            </w:r>
          </w:p>
        </w:tc>
        <w:tc>
          <w:tcPr>
            <w:tcW w:w="1186" w:type="dxa"/>
          </w:tcPr>
          <w:p w:rsidR="00FE5039" w:rsidRPr="00231FAD" w:rsidRDefault="00FE5039" w:rsidP="00B03CC0">
            <w:pPr>
              <w:spacing w:line="259" w:lineRule="auto"/>
              <w:ind w:right="90"/>
              <w:jc w:val="right"/>
              <w:cnfStyle w:val="000000100000" w:firstRow="0" w:lastRow="0" w:firstColumn="0" w:lastColumn="0" w:oddVBand="0" w:evenVBand="0" w:oddHBand="1" w:evenHBand="0" w:firstRowFirstColumn="0" w:firstRowLastColumn="0" w:lastRowFirstColumn="0" w:lastRowLastColumn="0"/>
            </w:pPr>
            <w:r w:rsidRPr="00231FAD">
              <w:t>9</w:t>
            </w:r>
          </w:p>
        </w:tc>
        <w:tc>
          <w:tcPr>
            <w:tcW w:w="1305" w:type="dxa"/>
          </w:tcPr>
          <w:p w:rsidR="00FE5039" w:rsidRPr="00231FAD" w:rsidRDefault="00FE5039" w:rsidP="00B03CC0">
            <w:pPr>
              <w:spacing w:line="259" w:lineRule="auto"/>
              <w:ind w:right="90"/>
              <w:jc w:val="right"/>
              <w:cnfStyle w:val="000000100000" w:firstRow="0" w:lastRow="0" w:firstColumn="0" w:lastColumn="0" w:oddVBand="0" w:evenVBand="0" w:oddHBand="1" w:evenHBand="0" w:firstRowFirstColumn="0" w:firstRowLastColumn="0" w:lastRowFirstColumn="0" w:lastRowLastColumn="0"/>
            </w:pPr>
            <w:r w:rsidRPr="00231FAD">
              <w:t xml:space="preserve">1 </w:t>
            </w:r>
          </w:p>
        </w:tc>
        <w:tc>
          <w:tcPr>
            <w:tcW w:w="2007" w:type="dxa"/>
          </w:tcPr>
          <w:p w:rsidR="00FE5039" w:rsidRPr="00231FAD" w:rsidRDefault="00FE5039" w:rsidP="00B03CC0">
            <w:pPr>
              <w:spacing w:line="259" w:lineRule="auto"/>
              <w:ind w:right="87"/>
              <w:jc w:val="right"/>
              <w:cnfStyle w:val="000000100000" w:firstRow="0" w:lastRow="0" w:firstColumn="0" w:lastColumn="0" w:oddVBand="0" w:evenVBand="0" w:oddHBand="1" w:evenHBand="0" w:firstRowFirstColumn="0" w:firstRowLastColumn="0" w:lastRowFirstColumn="0" w:lastRowLastColumn="0"/>
            </w:pPr>
            <w:r w:rsidRPr="00231FAD">
              <w:t xml:space="preserve">4 </w:t>
            </w:r>
          </w:p>
        </w:tc>
        <w:tc>
          <w:tcPr>
            <w:tcW w:w="1984" w:type="dxa"/>
          </w:tcPr>
          <w:p w:rsidR="00FE5039" w:rsidRPr="00231FAD" w:rsidRDefault="00FE5039" w:rsidP="00B03CC0">
            <w:pPr>
              <w:spacing w:line="259" w:lineRule="auto"/>
              <w:ind w:right="87"/>
              <w:jc w:val="right"/>
              <w:cnfStyle w:val="000000100000" w:firstRow="0" w:lastRow="0" w:firstColumn="0" w:lastColumn="0" w:oddVBand="0" w:evenVBand="0" w:oddHBand="1" w:evenHBand="0" w:firstRowFirstColumn="0" w:firstRowLastColumn="0" w:lastRowFirstColumn="0" w:lastRowLastColumn="0"/>
            </w:pPr>
            <w:r w:rsidRPr="00231FAD">
              <w:t>44,4</w:t>
            </w:r>
          </w:p>
        </w:tc>
      </w:tr>
      <w:tr w:rsidR="00FE5039" w:rsidRPr="00231FAD" w:rsidTr="00231FAD">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173" w:type="dxa"/>
          </w:tcPr>
          <w:p w:rsidR="00FE5039" w:rsidRPr="00231FAD" w:rsidRDefault="00FE5039" w:rsidP="00B03CC0">
            <w:pPr>
              <w:spacing w:line="259" w:lineRule="auto"/>
              <w:jc w:val="right"/>
              <w:rPr>
                <w:i w:val="0"/>
              </w:rPr>
            </w:pPr>
            <w:r w:rsidRPr="00231FAD">
              <w:rPr>
                <w:i w:val="0"/>
              </w:rPr>
              <w:t>2013</w:t>
            </w:r>
          </w:p>
        </w:tc>
        <w:tc>
          <w:tcPr>
            <w:tcW w:w="1186" w:type="dxa"/>
          </w:tcPr>
          <w:p w:rsidR="00FE5039" w:rsidRPr="00231FAD" w:rsidRDefault="00FE5039" w:rsidP="00B03CC0">
            <w:pPr>
              <w:spacing w:line="259" w:lineRule="auto"/>
              <w:ind w:right="90"/>
              <w:jc w:val="right"/>
              <w:cnfStyle w:val="000000010000" w:firstRow="0" w:lastRow="0" w:firstColumn="0" w:lastColumn="0" w:oddVBand="0" w:evenVBand="0" w:oddHBand="0" w:evenHBand="1" w:firstRowFirstColumn="0" w:firstRowLastColumn="0" w:lastRowFirstColumn="0" w:lastRowLastColumn="0"/>
            </w:pPr>
            <w:r w:rsidRPr="00231FAD">
              <w:t>69</w:t>
            </w:r>
          </w:p>
        </w:tc>
        <w:tc>
          <w:tcPr>
            <w:tcW w:w="1305" w:type="dxa"/>
          </w:tcPr>
          <w:p w:rsidR="00FE5039" w:rsidRPr="00231FAD" w:rsidRDefault="00FE5039" w:rsidP="00B03CC0">
            <w:pPr>
              <w:spacing w:line="259" w:lineRule="auto"/>
              <w:ind w:right="90"/>
              <w:jc w:val="right"/>
              <w:cnfStyle w:val="000000010000" w:firstRow="0" w:lastRow="0" w:firstColumn="0" w:lastColumn="0" w:oddVBand="0" w:evenVBand="0" w:oddHBand="0" w:evenHBand="1" w:firstRowFirstColumn="0" w:firstRowLastColumn="0" w:lastRowFirstColumn="0" w:lastRowLastColumn="0"/>
            </w:pPr>
            <w:r w:rsidRPr="00231FAD">
              <w:t>7</w:t>
            </w:r>
          </w:p>
        </w:tc>
        <w:tc>
          <w:tcPr>
            <w:tcW w:w="2007" w:type="dxa"/>
          </w:tcPr>
          <w:p w:rsidR="00FE5039" w:rsidRPr="00231FAD" w:rsidRDefault="00FE5039" w:rsidP="00B03CC0">
            <w:pPr>
              <w:spacing w:line="259" w:lineRule="auto"/>
              <w:ind w:right="87"/>
              <w:jc w:val="right"/>
              <w:cnfStyle w:val="000000010000" w:firstRow="0" w:lastRow="0" w:firstColumn="0" w:lastColumn="0" w:oddVBand="0" w:evenVBand="0" w:oddHBand="0" w:evenHBand="1" w:firstRowFirstColumn="0" w:firstRowLastColumn="0" w:lastRowFirstColumn="0" w:lastRowLastColumn="0"/>
            </w:pPr>
            <w:r w:rsidRPr="00231FAD">
              <w:t>49</w:t>
            </w:r>
          </w:p>
        </w:tc>
        <w:tc>
          <w:tcPr>
            <w:tcW w:w="1984" w:type="dxa"/>
          </w:tcPr>
          <w:p w:rsidR="00FE5039" w:rsidRPr="00231FAD" w:rsidRDefault="00FE5039" w:rsidP="00B03CC0">
            <w:pPr>
              <w:spacing w:line="259" w:lineRule="auto"/>
              <w:ind w:right="87"/>
              <w:jc w:val="right"/>
              <w:cnfStyle w:val="000000010000" w:firstRow="0" w:lastRow="0" w:firstColumn="0" w:lastColumn="0" w:oddVBand="0" w:evenVBand="0" w:oddHBand="0" w:evenHBand="1" w:firstRowFirstColumn="0" w:firstRowLastColumn="0" w:lastRowFirstColumn="0" w:lastRowLastColumn="0"/>
            </w:pPr>
            <w:r w:rsidRPr="00231FAD">
              <w:t>71,0</w:t>
            </w:r>
          </w:p>
        </w:tc>
      </w:tr>
      <w:tr w:rsidR="00FE5039" w:rsidRPr="00231FAD" w:rsidTr="00231FAD">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173" w:type="dxa"/>
          </w:tcPr>
          <w:p w:rsidR="00FE5039" w:rsidRPr="00231FAD" w:rsidRDefault="00FE5039" w:rsidP="00B03CC0">
            <w:pPr>
              <w:spacing w:line="259" w:lineRule="auto"/>
              <w:jc w:val="right"/>
            </w:pPr>
            <w:r>
              <w:t>2014</w:t>
            </w:r>
          </w:p>
        </w:tc>
        <w:tc>
          <w:tcPr>
            <w:tcW w:w="1186" w:type="dxa"/>
          </w:tcPr>
          <w:p w:rsidR="00FE5039" w:rsidRPr="00231FAD" w:rsidRDefault="00FE5039" w:rsidP="00B03CC0">
            <w:pPr>
              <w:spacing w:line="259" w:lineRule="auto"/>
              <w:ind w:right="90"/>
              <w:jc w:val="right"/>
              <w:cnfStyle w:val="000000100000" w:firstRow="0" w:lastRow="0" w:firstColumn="0" w:lastColumn="0" w:oddVBand="0" w:evenVBand="0" w:oddHBand="1" w:evenHBand="0" w:firstRowFirstColumn="0" w:firstRowLastColumn="0" w:lastRowFirstColumn="0" w:lastRowLastColumn="0"/>
            </w:pPr>
            <w:r>
              <w:t>36</w:t>
            </w:r>
          </w:p>
        </w:tc>
        <w:tc>
          <w:tcPr>
            <w:tcW w:w="1305" w:type="dxa"/>
          </w:tcPr>
          <w:p w:rsidR="00FE5039" w:rsidRPr="00231FAD" w:rsidRDefault="00FE5039" w:rsidP="00B03CC0">
            <w:pPr>
              <w:spacing w:line="259" w:lineRule="auto"/>
              <w:ind w:right="90"/>
              <w:jc w:val="right"/>
              <w:cnfStyle w:val="000000100000" w:firstRow="0" w:lastRow="0" w:firstColumn="0" w:lastColumn="0" w:oddVBand="0" w:evenVBand="0" w:oddHBand="1" w:evenHBand="0" w:firstRowFirstColumn="0" w:firstRowLastColumn="0" w:lastRowFirstColumn="0" w:lastRowLastColumn="0"/>
            </w:pPr>
            <w:r>
              <w:t>2</w:t>
            </w:r>
          </w:p>
        </w:tc>
        <w:tc>
          <w:tcPr>
            <w:tcW w:w="2007" w:type="dxa"/>
          </w:tcPr>
          <w:p w:rsidR="00FE5039" w:rsidRPr="00231FAD" w:rsidRDefault="00FE5039" w:rsidP="00B03CC0">
            <w:pPr>
              <w:spacing w:line="259" w:lineRule="auto"/>
              <w:ind w:right="87"/>
              <w:jc w:val="right"/>
              <w:cnfStyle w:val="000000100000" w:firstRow="0" w:lastRow="0" w:firstColumn="0" w:lastColumn="0" w:oddVBand="0" w:evenVBand="0" w:oddHBand="1" w:evenHBand="0" w:firstRowFirstColumn="0" w:firstRowLastColumn="0" w:lastRowFirstColumn="0" w:lastRowLastColumn="0"/>
            </w:pPr>
            <w:r>
              <w:t>34</w:t>
            </w:r>
          </w:p>
        </w:tc>
        <w:tc>
          <w:tcPr>
            <w:tcW w:w="1984" w:type="dxa"/>
          </w:tcPr>
          <w:p w:rsidR="00FE5039" w:rsidRPr="00231FAD" w:rsidRDefault="00FE5039" w:rsidP="00B03CC0">
            <w:pPr>
              <w:spacing w:line="259" w:lineRule="auto"/>
              <w:ind w:right="87"/>
              <w:jc w:val="right"/>
              <w:cnfStyle w:val="000000100000" w:firstRow="0" w:lastRow="0" w:firstColumn="0" w:lastColumn="0" w:oddVBand="0" w:evenVBand="0" w:oddHBand="1" w:evenHBand="0" w:firstRowFirstColumn="0" w:firstRowLastColumn="0" w:lastRowFirstColumn="0" w:lastRowLastColumn="0"/>
            </w:pPr>
            <w:r>
              <w:t>94,4</w:t>
            </w:r>
          </w:p>
        </w:tc>
      </w:tr>
      <w:tr w:rsidR="00FE5039" w:rsidRPr="00231FAD" w:rsidTr="00231FAD">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173" w:type="dxa"/>
          </w:tcPr>
          <w:p w:rsidR="00FE5039" w:rsidRPr="00231FAD" w:rsidRDefault="00FE5039" w:rsidP="00B03CC0">
            <w:pPr>
              <w:spacing w:line="259" w:lineRule="auto"/>
              <w:jc w:val="right"/>
            </w:pPr>
            <w:r>
              <w:t>2015</w:t>
            </w:r>
          </w:p>
        </w:tc>
        <w:tc>
          <w:tcPr>
            <w:tcW w:w="1186" w:type="dxa"/>
          </w:tcPr>
          <w:p w:rsidR="00FE5039" w:rsidRPr="00C975C8" w:rsidRDefault="00FE5039" w:rsidP="00160B90">
            <w:pPr>
              <w:spacing w:line="259" w:lineRule="auto"/>
              <w:ind w:right="90"/>
              <w:jc w:val="right"/>
              <w:cnfStyle w:val="000000010000" w:firstRow="0" w:lastRow="0" w:firstColumn="0" w:lastColumn="0" w:oddVBand="0" w:evenVBand="0" w:oddHBand="0" w:evenHBand="1" w:firstRowFirstColumn="0" w:firstRowLastColumn="0" w:lastRowFirstColumn="0" w:lastRowLastColumn="0"/>
            </w:pPr>
            <w:r w:rsidRPr="00C975C8">
              <w:t>53</w:t>
            </w:r>
          </w:p>
        </w:tc>
        <w:tc>
          <w:tcPr>
            <w:tcW w:w="1305" w:type="dxa"/>
          </w:tcPr>
          <w:p w:rsidR="00FE5039" w:rsidRPr="00C975C8" w:rsidRDefault="00FE5039" w:rsidP="00160B90">
            <w:pPr>
              <w:spacing w:line="259" w:lineRule="auto"/>
              <w:ind w:right="90"/>
              <w:jc w:val="right"/>
              <w:cnfStyle w:val="000000010000" w:firstRow="0" w:lastRow="0" w:firstColumn="0" w:lastColumn="0" w:oddVBand="0" w:evenVBand="0" w:oddHBand="0" w:evenHBand="1" w:firstRowFirstColumn="0" w:firstRowLastColumn="0" w:lastRowFirstColumn="0" w:lastRowLastColumn="0"/>
            </w:pPr>
            <w:r w:rsidRPr="00C975C8">
              <w:t>5</w:t>
            </w:r>
          </w:p>
        </w:tc>
        <w:tc>
          <w:tcPr>
            <w:tcW w:w="2007" w:type="dxa"/>
          </w:tcPr>
          <w:p w:rsidR="00FE5039" w:rsidRPr="00C975C8" w:rsidRDefault="00FE5039" w:rsidP="00B03CC0">
            <w:pPr>
              <w:spacing w:line="259" w:lineRule="auto"/>
              <w:ind w:right="87"/>
              <w:jc w:val="right"/>
              <w:cnfStyle w:val="000000010000" w:firstRow="0" w:lastRow="0" w:firstColumn="0" w:lastColumn="0" w:oddVBand="0" w:evenVBand="0" w:oddHBand="0" w:evenHBand="1" w:firstRowFirstColumn="0" w:firstRowLastColumn="0" w:lastRowFirstColumn="0" w:lastRowLastColumn="0"/>
            </w:pPr>
            <w:r w:rsidRPr="00C975C8">
              <w:t>52</w:t>
            </w:r>
          </w:p>
        </w:tc>
        <w:tc>
          <w:tcPr>
            <w:tcW w:w="1984" w:type="dxa"/>
          </w:tcPr>
          <w:p w:rsidR="00FE5039" w:rsidRPr="00C975C8" w:rsidRDefault="00FE5039" w:rsidP="00B03CC0">
            <w:pPr>
              <w:spacing w:line="259" w:lineRule="auto"/>
              <w:ind w:right="87"/>
              <w:jc w:val="right"/>
              <w:cnfStyle w:val="000000010000" w:firstRow="0" w:lastRow="0" w:firstColumn="0" w:lastColumn="0" w:oddVBand="0" w:evenVBand="0" w:oddHBand="0" w:evenHBand="1" w:firstRowFirstColumn="0" w:firstRowLastColumn="0" w:lastRowFirstColumn="0" w:lastRowLastColumn="0"/>
            </w:pPr>
            <w:r w:rsidRPr="00C975C8">
              <w:t>98,1</w:t>
            </w:r>
          </w:p>
        </w:tc>
      </w:tr>
      <w:tr w:rsidR="00FE5039" w:rsidRPr="00231FAD" w:rsidTr="00231FAD">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173" w:type="dxa"/>
          </w:tcPr>
          <w:p w:rsidR="00FE5039" w:rsidRDefault="00FE5039" w:rsidP="00B03CC0">
            <w:pPr>
              <w:spacing w:line="259" w:lineRule="auto"/>
              <w:jc w:val="right"/>
            </w:pPr>
            <w:r>
              <w:t>2016</w:t>
            </w:r>
          </w:p>
        </w:tc>
        <w:tc>
          <w:tcPr>
            <w:tcW w:w="1186" w:type="dxa"/>
          </w:tcPr>
          <w:p w:rsidR="00FE5039" w:rsidRPr="00C975C8" w:rsidRDefault="00FE5039" w:rsidP="00160B90">
            <w:pPr>
              <w:spacing w:line="259" w:lineRule="auto"/>
              <w:ind w:right="90"/>
              <w:jc w:val="right"/>
              <w:cnfStyle w:val="000000100000" w:firstRow="0" w:lastRow="0" w:firstColumn="0" w:lastColumn="0" w:oddVBand="0" w:evenVBand="0" w:oddHBand="1" w:evenHBand="0" w:firstRowFirstColumn="0" w:firstRowLastColumn="0" w:lastRowFirstColumn="0" w:lastRowLastColumn="0"/>
            </w:pPr>
            <w:r w:rsidRPr="00C975C8">
              <w:t>51</w:t>
            </w:r>
          </w:p>
        </w:tc>
        <w:tc>
          <w:tcPr>
            <w:tcW w:w="1305" w:type="dxa"/>
          </w:tcPr>
          <w:p w:rsidR="00FE5039" w:rsidRPr="00C975C8" w:rsidRDefault="00FE5039" w:rsidP="00160B90">
            <w:pPr>
              <w:spacing w:line="259" w:lineRule="auto"/>
              <w:ind w:right="90"/>
              <w:jc w:val="right"/>
              <w:cnfStyle w:val="000000100000" w:firstRow="0" w:lastRow="0" w:firstColumn="0" w:lastColumn="0" w:oddVBand="0" w:evenVBand="0" w:oddHBand="1" w:evenHBand="0" w:firstRowFirstColumn="0" w:firstRowLastColumn="0" w:lastRowFirstColumn="0" w:lastRowLastColumn="0"/>
            </w:pPr>
            <w:r w:rsidRPr="00C975C8">
              <w:t>4</w:t>
            </w:r>
          </w:p>
        </w:tc>
        <w:tc>
          <w:tcPr>
            <w:tcW w:w="2007" w:type="dxa"/>
          </w:tcPr>
          <w:p w:rsidR="00FE5039" w:rsidRPr="00C975C8" w:rsidRDefault="00FE5039" w:rsidP="00B03CC0">
            <w:pPr>
              <w:spacing w:line="259" w:lineRule="auto"/>
              <w:ind w:right="87"/>
              <w:jc w:val="right"/>
              <w:cnfStyle w:val="000000100000" w:firstRow="0" w:lastRow="0" w:firstColumn="0" w:lastColumn="0" w:oddVBand="0" w:evenVBand="0" w:oddHBand="1" w:evenHBand="0" w:firstRowFirstColumn="0" w:firstRowLastColumn="0" w:lastRowFirstColumn="0" w:lastRowLastColumn="0"/>
            </w:pPr>
            <w:r w:rsidRPr="00C975C8">
              <w:t>48</w:t>
            </w:r>
          </w:p>
        </w:tc>
        <w:tc>
          <w:tcPr>
            <w:tcW w:w="1984" w:type="dxa"/>
          </w:tcPr>
          <w:p w:rsidR="00FE5039" w:rsidRPr="00C975C8" w:rsidRDefault="00FE5039" w:rsidP="00B03CC0">
            <w:pPr>
              <w:spacing w:line="259" w:lineRule="auto"/>
              <w:ind w:right="87"/>
              <w:jc w:val="right"/>
              <w:cnfStyle w:val="000000100000" w:firstRow="0" w:lastRow="0" w:firstColumn="0" w:lastColumn="0" w:oddVBand="0" w:evenVBand="0" w:oddHBand="1" w:evenHBand="0" w:firstRowFirstColumn="0" w:firstRowLastColumn="0" w:lastRowFirstColumn="0" w:lastRowLastColumn="0"/>
            </w:pPr>
            <w:r w:rsidRPr="00C975C8">
              <w:t>94,1</w:t>
            </w:r>
          </w:p>
        </w:tc>
      </w:tr>
      <w:tr w:rsidR="00FE5039" w:rsidRPr="00231FAD" w:rsidTr="00231FAD">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173" w:type="dxa"/>
          </w:tcPr>
          <w:p w:rsidR="00FE5039" w:rsidRPr="00AD391B" w:rsidRDefault="00FE5039" w:rsidP="00B03CC0">
            <w:pPr>
              <w:spacing w:line="259" w:lineRule="auto"/>
              <w:jc w:val="right"/>
              <w:rPr>
                <w:lang w:val="sr-Cyrl-RS"/>
              </w:rPr>
            </w:pPr>
            <w:r>
              <w:rPr>
                <w:lang w:val="sr-Cyrl-RS"/>
              </w:rPr>
              <w:t>2017</w:t>
            </w:r>
          </w:p>
        </w:tc>
        <w:tc>
          <w:tcPr>
            <w:tcW w:w="1186" w:type="dxa"/>
          </w:tcPr>
          <w:p w:rsidR="00FE5039" w:rsidRPr="006B4CDC" w:rsidRDefault="00FE5039" w:rsidP="00160B90">
            <w:pPr>
              <w:spacing w:line="259" w:lineRule="auto"/>
              <w:ind w:right="90"/>
              <w:jc w:val="right"/>
              <w:cnfStyle w:val="000000010000" w:firstRow="0" w:lastRow="0" w:firstColumn="0" w:lastColumn="0" w:oddVBand="0" w:evenVBand="0" w:oddHBand="0" w:evenHBand="1" w:firstRowFirstColumn="0" w:firstRowLastColumn="0" w:lastRowFirstColumn="0" w:lastRowLastColumn="0"/>
              <w:rPr>
                <w:lang w:val="sr-Cyrl-RS"/>
              </w:rPr>
            </w:pPr>
            <w:r>
              <w:rPr>
                <w:lang w:val="sr-Cyrl-RS"/>
              </w:rPr>
              <w:t>6</w:t>
            </w:r>
          </w:p>
        </w:tc>
        <w:tc>
          <w:tcPr>
            <w:tcW w:w="1305" w:type="dxa"/>
          </w:tcPr>
          <w:p w:rsidR="00FE5039" w:rsidRPr="006B4CDC" w:rsidRDefault="00FE5039" w:rsidP="00160B90">
            <w:pPr>
              <w:spacing w:line="259" w:lineRule="auto"/>
              <w:ind w:right="90"/>
              <w:jc w:val="right"/>
              <w:cnfStyle w:val="000000010000" w:firstRow="0" w:lastRow="0" w:firstColumn="0" w:lastColumn="0" w:oddVBand="0" w:evenVBand="0" w:oddHBand="0" w:evenHBand="1" w:firstRowFirstColumn="0" w:firstRowLastColumn="0" w:lastRowFirstColumn="0" w:lastRowLastColumn="0"/>
              <w:rPr>
                <w:lang w:val="sr-Cyrl-RS"/>
              </w:rPr>
            </w:pPr>
            <w:r>
              <w:rPr>
                <w:lang w:val="sr-Cyrl-RS"/>
              </w:rPr>
              <w:t>1</w:t>
            </w:r>
          </w:p>
        </w:tc>
        <w:tc>
          <w:tcPr>
            <w:tcW w:w="2007" w:type="dxa"/>
          </w:tcPr>
          <w:p w:rsidR="00FE5039" w:rsidRPr="006B4CDC" w:rsidRDefault="00FE5039" w:rsidP="00B03CC0">
            <w:pPr>
              <w:spacing w:line="259" w:lineRule="auto"/>
              <w:ind w:right="87"/>
              <w:jc w:val="right"/>
              <w:cnfStyle w:val="000000010000" w:firstRow="0" w:lastRow="0" w:firstColumn="0" w:lastColumn="0" w:oddVBand="0" w:evenVBand="0" w:oddHBand="0" w:evenHBand="1" w:firstRowFirstColumn="0" w:firstRowLastColumn="0" w:lastRowFirstColumn="0" w:lastRowLastColumn="0"/>
              <w:rPr>
                <w:lang w:val="sr-Cyrl-RS"/>
              </w:rPr>
            </w:pPr>
            <w:r>
              <w:rPr>
                <w:lang w:val="sr-Cyrl-RS"/>
              </w:rPr>
              <w:t>6</w:t>
            </w:r>
          </w:p>
        </w:tc>
        <w:tc>
          <w:tcPr>
            <w:tcW w:w="1984" w:type="dxa"/>
          </w:tcPr>
          <w:p w:rsidR="00FE5039" w:rsidRPr="006B4CDC" w:rsidRDefault="00FE5039" w:rsidP="00B03CC0">
            <w:pPr>
              <w:spacing w:line="259" w:lineRule="auto"/>
              <w:ind w:right="87"/>
              <w:jc w:val="right"/>
              <w:cnfStyle w:val="000000010000" w:firstRow="0" w:lastRow="0" w:firstColumn="0" w:lastColumn="0" w:oddVBand="0" w:evenVBand="0" w:oddHBand="0" w:evenHBand="1" w:firstRowFirstColumn="0" w:firstRowLastColumn="0" w:lastRowFirstColumn="0" w:lastRowLastColumn="0"/>
              <w:rPr>
                <w:lang w:val="sr-Cyrl-RS"/>
              </w:rPr>
            </w:pPr>
            <w:r>
              <w:rPr>
                <w:lang w:val="sr-Cyrl-RS"/>
              </w:rPr>
              <w:t>100,0</w:t>
            </w:r>
          </w:p>
        </w:tc>
      </w:tr>
      <w:tr w:rsidR="00FE5039" w:rsidRPr="00231FAD" w:rsidTr="00231FAD">
        <w:trPr>
          <w:cnfStyle w:val="000000100000" w:firstRow="0" w:lastRow="0" w:firstColumn="0" w:lastColumn="0" w:oddVBand="0" w:evenVBand="0" w:oddHBand="1" w:evenHBand="0" w:firstRowFirstColumn="0" w:firstRowLastColumn="0" w:lastRowFirstColumn="0" w:lastRowLastColumn="0"/>
          <w:trHeight w:val="264"/>
          <w:jc w:val="center"/>
        </w:trPr>
        <w:tc>
          <w:tcPr>
            <w:cnfStyle w:val="001000000000" w:firstRow="0" w:lastRow="0" w:firstColumn="1" w:lastColumn="0" w:oddVBand="0" w:evenVBand="0" w:oddHBand="0" w:evenHBand="0" w:firstRowFirstColumn="0" w:firstRowLastColumn="0" w:lastRowFirstColumn="0" w:lastRowLastColumn="0"/>
            <w:tcW w:w="1173" w:type="dxa"/>
          </w:tcPr>
          <w:p w:rsidR="00FE5039" w:rsidRPr="00231FAD" w:rsidRDefault="00FE5039" w:rsidP="00160B90">
            <w:pPr>
              <w:spacing w:line="259" w:lineRule="auto"/>
              <w:jc w:val="right"/>
              <w:rPr>
                <w:b/>
                <w:i w:val="0"/>
              </w:rPr>
            </w:pPr>
            <w:r w:rsidRPr="00231FAD">
              <w:rPr>
                <w:b/>
                <w:i w:val="0"/>
              </w:rPr>
              <w:t xml:space="preserve">Укупно </w:t>
            </w:r>
          </w:p>
        </w:tc>
        <w:tc>
          <w:tcPr>
            <w:tcW w:w="1186" w:type="dxa"/>
          </w:tcPr>
          <w:p w:rsidR="00FE5039" w:rsidRPr="006B4CDC" w:rsidRDefault="00FE5039" w:rsidP="00160B90">
            <w:pPr>
              <w:spacing w:line="259" w:lineRule="auto"/>
              <w:ind w:right="90"/>
              <w:jc w:val="right"/>
              <w:cnfStyle w:val="000000100000" w:firstRow="0" w:lastRow="0" w:firstColumn="0" w:lastColumn="0" w:oddVBand="0" w:evenVBand="0" w:oddHBand="1" w:evenHBand="0" w:firstRowFirstColumn="0" w:firstRowLastColumn="0" w:lastRowFirstColumn="0" w:lastRowLastColumn="0"/>
              <w:rPr>
                <w:b/>
                <w:lang w:val="sr-Cyrl-RS"/>
              </w:rPr>
            </w:pPr>
            <w:r>
              <w:rPr>
                <w:b/>
                <w:lang w:val="sr-Cyrl-RS"/>
              </w:rPr>
              <w:t>402</w:t>
            </w:r>
          </w:p>
        </w:tc>
        <w:tc>
          <w:tcPr>
            <w:tcW w:w="1305" w:type="dxa"/>
          </w:tcPr>
          <w:p w:rsidR="00FE5039" w:rsidRPr="006B4CDC" w:rsidRDefault="00FE5039" w:rsidP="00B03CC0">
            <w:pPr>
              <w:spacing w:line="259" w:lineRule="auto"/>
              <w:ind w:right="90"/>
              <w:jc w:val="right"/>
              <w:cnfStyle w:val="000000100000" w:firstRow="0" w:lastRow="0" w:firstColumn="0" w:lastColumn="0" w:oddVBand="0" w:evenVBand="0" w:oddHBand="1" w:evenHBand="0" w:firstRowFirstColumn="0" w:firstRowLastColumn="0" w:lastRowFirstColumn="0" w:lastRowLastColumn="0"/>
              <w:rPr>
                <w:b/>
                <w:lang w:val="sr-Cyrl-RS"/>
              </w:rPr>
            </w:pPr>
            <w:r>
              <w:rPr>
                <w:b/>
                <w:lang w:val="sr-Cyrl-RS"/>
              </w:rPr>
              <w:t>31</w:t>
            </w:r>
          </w:p>
        </w:tc>
        <w:tc>
          <w:tcPr>
            <w:tcW w:w="2007" w:type="dxa"/>
          </w:tcPr>
          <w:p w:rsidR="00FE5039" w:rsidRPr="006B4CDC" w:rsidRDefault="00FE5039" w:rsidP="00B03CC0">
            <w:pPr>
              <w:spacing w:line="259" w:lineRule="auto"/>
              <w:ind w:right="89"/>
              <w:jc w:val="right"/>
              <w:cnfStyle w:val="000000100000" w:firstRow="0" w:lastRow="0" w:firstColumn="0" w:lastColumn="0" w:oddVBand="0" w:evenVBand="0" w:oddHBand="1" w:evenHBand="0" w:firstRowFirstColumn="0" w:firstRowLastColumn="0" w:lastRowFirstColumn="0" w:lastRowLastColumn="0"/>
              <w:rPr>
                <w:b/>
                <w:lang w:val="sr-Cyrl-RS"/>
              </w:rPr>
            </w:pPr>
            <w:r>
              <w:rPr>
                <w:b/>
                <w:lang w:val="sr-Cyrl-RS"/>
              </w:rPr>
              <w:t>362</w:t>
            </w:r>
          </w:p>
        </w:tc>
        <w:tc>
          <w:tcPr>
            <w:tcW w:w="1984" w:type="dxa"/>
          </w:tcPr>
          <w:p w:rsidR="00FE5039" w:rsidRPr="006B4CDC" w:rsidRDefault="00FE5039" w:rsidP="00B03CC0">
            <w:pPr>
              <w:spacing w:line="259" w:lineRule="auto"/>
              <w:ind w:right="89"/>
              <w:jc w:val="right"/>
              <w:cnfStyle w:val="000000100000" w:firstRow="0" w:lastRow="0" w:firstColumn="0" w:lastColumn="0" w:oddVBand="0" w:evenVBand="0" w:oddHBand="1" w:evenHBand="0" w:firstRowFirstColumn="0" w:firstRowLastColumn="0" w:lastRowFirstColumn="0" w:lastRowLastColumn="0"/>
              <w:rPr>
                <w:b/>
                <w:lang w:val="sr-Cyrl-RS"/>
              </w:rPr>
            </w:pPr>
            <w:r>
              <w:rPr>
                <w:b/>
                <w:lang w:val="sr-Cyrl-RS"/>
              </w:rPr>
              <w:t>90,0</w:t>
            </w:r>
          </w:p>
        </w:tc>
      </w:tr>
    </w:tbl>
    <w:p w:rsidR="00FE5039" w:rsidRDefault="00FE5039" w:rsidP="00B03CC0">
      <w:pPr>
        <w:rPr>
          <w:lang w:val="ru-RU"/>
        </w:rPr>
      </w:pPr>
    </w:p>
    <w:p w:rsidR="00FE5039" w:rsidRPr="00CA2848" w:rsidRDefault="00FE5039" w:rsidP="00B03CC0">
      <w:pPr>
        <w:rPr>
          <w:lang w:val="ru-RU"/>
        </w:rPr>
      </w:pPr>
      <w:r w:rsidRPr="00CA2848">
        <w:rPr>
          <w:lang w:val="ru-RU"/>
        </w:rPr>
        <w:t>Основни резервоар трихинелозе у АП Војводини је домаћа свиња, а најризичније намирни</w:t>
      </w:r>
      <w:r>
        <w:rPr>
          <w:lang w:val="ru-RU"/>
        </w:rPr>
        <w:t>це су димљене кобасице, које се</w:t>
      </w:r>
      <w:r w:rsidRPr="00CA2848">
        <w:rPr>
          <w:lang w:val="ru-RU"/>
        </w:rPr>
        <w:t xml:space="preserve"> од свих традиционално конзервираних намирница, прве конзумирају након свињокоља или се најчешће налазе у нерегистрованој продаји. </w:t>
      </w:r>
    </w:p>
    <w:p w:rsidR="00FE5039" w:rsidRPr="009254FB" w:rsidRDefault="00FE5039" w:rsidP="00B03CC0">
      <w:pPr>
        <w:pStyle w:val="Heading2"/>
        <w:rPr>
          <w:rFonts w:ascii="Century Gothic" w:hAnsi="Century Gothic"/>
          <w:b/>
          <w:sz w:val="22"/>
          <w:szCs w:val="22"/>
          <w:lang w:eastAsia="sr-Latn-RS"/>
        </w:rPr>
      </w:pPr>
      <w:bookmarkStart w:id="28" w:name="_Toc389134528"/>
      <w:bookmarkStart w:id="29" w:name="_Toc515520363"/>
      <w:bookmarkStart w:id="30" w:name="_Toc515524205"/>
      <w:r w:rsidRPr="009254FB">
        <w:rPr>
          <w:rFonts w:ascii="Century Gothic" w:hAnsi="Century Gothic"/>
          <w:b/>
          <w:sz w:val="22"/>
          <w:szCs w:val="22"/>
          <w:lang w:eastAsia="sr-Latn-RS"/>
        </w:rPr>
        <w:t xml:space="preserve"> Контактне епидемије</w:t>
      </w:r>
      <w:bookmarkEnd w:id="28"/>
      <w:bookmarkEnd w:id="29"/>
      <w:bookmarkEnd w:id="30"/>
      <w:r w:rsidRPr="009254FB">
        <w:rPr>
          <w:rFonts w:ascii="Century Gothic" w:hAnsi="Century Gothic"/>
          <w:b/>
          <w:sz w:val="22"/>
          <w:szCs w:val="22"/>
          <w:lang w:eastAsia="sr-Latn-RS"/>
        </w:rPr>
        <w:t xml:space="preserve"> </w:t>
      </w:r>
    </w:p>
    <w:p w:rsidR="00FE5039" w:rsidRPr="00D96EA1" w:rsidRDefault="00FE5039" w:rsidP="00B03CC0">
      <w:pPr>
        <w:spacing w:after="0"/>
        <w:ind w:right="107"/>
        <w:rPr>
          <w:sz w:val="16"/>
          <w:szCs w:val="16"/>
        </w:rPr>
      </w:pPr>
      <w:r w:rsidRPr="005214C0">
        <w:t>Последњих десет година на подручју АП Војводине</w:t>
      </w:r>
      <w:r>
        <w:t xml:space="preserve"> је</w:t>
      </w:r>
      <w:r w:rsidRPr="005214C0">
        <w:t xml:space="preserve"> регистрован</w:t>
      </w:r>
      <w:r>
        <w:t>о</w:t>
      </w:r>
      <w:r w:rsidRPr="005214C0">
        <w:t xml:space="preserve"> 1</w:t>
      </w:r>
      <w:r>
        <w:t>36</w:t>
      </w:r>
      <w:r w:rsidRPr="005214C0">
        <w:t xml:space="preserve"> епидемија контактног типа у којима је оболел</w:t>
      </w:r>
      <w:r>
        <w:rPr>
          <w:lang w:val="sr-Cyrl-RS"/>
        </w:rPr>
        <w:t>а</w:t>
      </w:r>
      <w:r w:rsidRPr="005214C0">
        <w:t xml:space="preserve"> </w:t>
      </w:r>
      <w:r>
        <w:t>2731</w:t>
      </w:r>
      <w:r w:rsidRPr="005214C0">
        <w:t xml:space="preserve"> особа (табела </w:t>
      </w:r>
      <w:r w:rsidR="00073649">
        <w:t>11</w:t>
      </w:r>
      <w:r w:rsidRPr="005214C0">
        <w:t>).</w:t>
      </w:r>
      <w:r w:rsidRPr="00E630DF">
        <w:t xml:space="preserve"> </w:t>
      </w:r>
      <w:r>
        <w:t>У овим епидемијама није било оболелих са неповољним исходом.</w:t>
      </w:r>
    </w:p>
    <w:p w:rsidR="00FE5039" w:rsidRPr="002C13BF" w:rsidRDefault="00FE5039" w:rsidP="00B03CC0">
      <w:pPr>
        <w:pStyle w:val="Caption"/>
        <w:spacing w:after="160"/>
      </w:pPr>
      <w:r w:rsidRPr="00E630DF">
        <w:lastRenderedPageBreak/>
        <w:t xml:space="preserve">Табела </w:t>
      </w:r>
      <w:r w:rsidR="00073649">
        <w:t>11</w:t>
      </w:r>
      <w:r>
        <w:t>.</w:t>
      </w:r>
      <w:r w:rsidRPr="00E630DF">
        <w:t xml:space="preserve"> Контактне епидеми</w:t>
      </w:r>
      <w:r>
        <w:t>је у АП Војводини у периоду од 2008</w:t>
      </w:r>
      <w:r w:rsidRPr="0011401D">
        <w:t xml:space="preserve">. </w:t>
      </w:r>
      <w:r>
        <w:t>до 2017</w:t>
      </w:r>
      <w:r w:rsidRPr="0011401D">
        <w:t>. годин</w:t>
      </w:r>
      <w:r>
        <w:t>е</w:t>
      </w:r>
    </w:p>
    <w:tbl>
      <w:tblPr>
        <w:tblStyle w:val="PlainTable51"/>
        <w:tblW w:w="6801" w:type="dxa"/>
        <w:jc w:val="center"/>
        <w:tblLook w:val="04A0" w:firstRow="1" w:lastRow="0" w:firstColumn="1" w:lastColumn="0" w:noHBand="0" w:noVBand="1"/>
      </w:tblPr>
      <w:tblGrid>
        <w:gridCol w:w="1548"/>
        <w:gridCol w:w="1618"/>
        <w:gridCol w:w="1587"/>
        <w:gridCol w:w="2048"/>
      </w:tblGrid>
      <w:tr w:rsidR="00FE5039" w:rsidRPr="00AC0127" w:rsidTr="00B03CC0">
        <w:trPr>
          <w:cnfStyle w:val="100000000000" w:firstRow="1" w:lastRow="0" w:firstColumn="0" w:lastColumn="0" w:oddVBand="0" w:evenVBand="0" w:oddHBand="0" w:evenHBand="0" w:firstRowFirstColumn="0" w:firstRowLastColumn="0" w:lastRowFirstColumn="0" w:lastRowLastColumn="0"/>
          <w:trHeight w:val="270"/>
          <w:jc w:val="center"/>
        </w:trPr>
        <w:tc>
          <w:tcPr>
            <w:cnfStyle w:val="001000000100" w:firstRow="0" w:lastRow="0" w:firstColumn="1" w:lastColumn="0" w:oddVBand="0" w:evenVBand="0" w:oddHBand="0" w:evenHBand="0" w:firstRowFirstColumn="1" w:firstRowLastColumn="0" w:lastRowFirstColumn="0" w:lastRowLastColumn="0"/>
            <w:tcW w:w="1548" w:type="dxa"/>
          </w:tcPr>
          <w:p w:rsidR="00FE5039" w:rsidRPr="00AC0127" w:rsidRDefault="00FE5039" w:rsidP="00AD05F1">
            <w:pPr>
              <w:spacing w:line="259" w:lineRule="auto"/>
              <w:ind w:right="53"/>
              <w:jc w:val="right"/>
              <w:rPr>
                <w:b w:val="0"/>
                <w:i w:val="0"/>
              </w:rPr>
            </w:pPr>
            <w:r w:rsidRPr="00AC0127">
              <w:rPr>
                <w:b w:val="0"/>
                <w:i w:val="0"/>
                <w:color w:val="FFFFFF"/>
              </w:rPr>
              <w:t xml:space="preserve">Година </w:t>
            </w:r>
          </w:p>
        </w:tc>
        <w:tc>
          <w:tcPr>
            <w:tcW w:w="1618" w:type="dxa"/>
          </w:tcPr>
          <w:p w:rsidR="00FE5039" w:rsidRPr="00AC0127" w:rsidRDefault="00FE5039" w:rsidP="00AD05F1">
            <w:pPr>
              <w:spacing w:line="259" w:lineRule="auto"/>
              <w:jc w:val="right"/>
              <w:cnfStyle w:val="100000000000" w:firstRow="1" w:lastRow="0" w:firstColumn="0" w:lastColumn="0" w:oddVBand="0" w:evenVBand="0" w:oddHBand="0" w:evenHBand="0" w:firstRowFirstColumn="0" w:firstRowLastColumn="0" w:lastRowFirstColumn="0" w:lastRowLastColumn="0"/>
              <w:rPr>
                <w:b w:val="0"/>
                <w:i w:val="0"/>
              </w:rPr>
            </w:pPr>
            <w:r w:rsidRPr="00AC0127">
              <w:rPr>
                <w:b w:val="0"/>
                <w:i w:val="0"/>
                <w:color w:val="FFFFFF"/>
              </w:rPr>
              <w:t xml:space="preserve">Број епидемија </w:t>
            </w:r>
          </w:p>
        </w:tc>
        <w:tc>
          <w:tcPr>
            <w:tcW w:w="1587" w:type="dxa"/>
          </w:tcPr>
          <w:p w:rsidR="00FE5039" w:rsidRPr="00AC0127" w:rsidRDefault="00FE5039" w:rsidP="00AD05F1">
            <w:pPr>
              <w:spacing w:line="259" w:lineRule="auto"/>
              <w:jc w:val="right"/>
              <w:cnfStyle w:val="100000000000" w:firstRow="1" w:lastRow="0" w:firstColumn="0" w:lastColumn="0" w:oddVBand="0" w:evenVBand="0" w:oddHBand="0" w:evenHBand="0" w:firstRowFirstColumn="0" w:firstRowLastColumn="0" w:lastRowFirstColumn="0" w:lastRowLastColumn="0"/>
              <w:rPr>
                <w:b w:val="0"/>
                <w:i w:val="0"/>
              </w:rPr>
            </w:pPr>
            <w:r w:rsidRPr="00AC0127">
              <w:rPr>
                <w:b w:val="0"/>
                <w:i w:val="0"/>
                <w:color w:val="FFFFFF"/>
              </w:rPr>
              <w:t xml:space="preserve">Број оболелих </w:t>
            </w:r>
          </w:p>
        </w:tc>
        <w:tc>
          <w:tcPr>
            <w:tcW w:w="2048" w:type="dxa"/>
          </w:tcPr>
          <w:p w:rsidR="00FE5039" w:rsidRPr="00871D89" w:rsidRDefault="00FE5039" w:rsidP="00AD05F1">
            <w:pPr>
              <w:spacing w:line="259" w:lineRule="auto"/>
              <w:jc w:val="right"/>
              <w:cnfStyle w:val="100000000000" w:firstRow="1" w:lastRow="0" w:firstColumn="0" w:lastColumn="0" w:oddVBand="0" w:evenVBand="0" w:oddHBand="0" w:evenHBand="0" w:firstRowFirstColumn="0" w:firstRowLastColumn="0" w:lastRowFirstColumn="0" w:lastRowLastColumn="0"/>
              <w:rPr>
                <w:b w:val="0"/>
                <w:i w:val="0"/>
                <w:color w:val="FFFFFF"/>
              </w:rPr>
            </w:pPr>
            <w:r>
              <w:rPr>
                <w:b w:val="0"/>
                <w:i w:val="0"/>
                <w:color w:val="FFFFFF"/>
              </w:rPr>
              <w:t>Број хоспитализованих</w:t>
            </w:r>
          </w:p>
        </w:tc>
      </w:tr>
      <w:tr w:rsidR="00FE5039" w:rsidRPr="00AC0127" w:rsidTr="00B03CC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548" w:type="dxa"/>
          </w:tcPr>
          <w:p w:rsidR="00FE5039" w:rsidRPr="0043789C" w:rsidRDefault="00FE5039" w:rsidP="00B03CC0">
            <w:pPr>
              <w:jc w:val="right"/>
              <w:rPr>
                <w:rFonts w:ascii="Century Gothic" w:hAnsi="Century Gothic"/>
                <w:i w:val="0"/>
                <w:color w:val="000000"/>
                <w:szCs w:val="20"/>
              </w:rPr>
            </w:pPr>
            <w:r>
              <w:rPr>
                <w:rFonts w:ascii="Century Gothic" w:hAnsi="Century Gothic"/>
                <w:i w:val="0"/>
                <w:color w:val="000000"/>
                <w:szCs w:val="20"/>
              </w:rPr>
              <w:t>2008</w:t>
            </w:r>
            <w:r w:rsidRPr="0043789C">
              <w:rPr>
                <w:rFonts w:ascii="Century Gothic" w:hAnsi="Century Gothic"/>
                <w:i w:val="0"/>
                <w:color w:val="000000"/>
                <w:szCs w:val="20"/>
              </w:rPr>
              <w:t xml:space="preserve"> </w:t>
            </w:r>
          </w:p>
        </w:tc>
        <w:tc>
          <w:tcPr>
            <w:tcW w:w="1618" w:type="dxa"/>
          </w:tcPr>
          <w:p w:rsidR="00FE5039"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19</w:t>
            </w:r>
          </w:p>
        </w:tc>
        <w:tc>
          <w:tcPr>
            <w:tcW w:w="1587" w:type="dxa"/>
          </w:tcPr>
          <w:p w:rsidR="00FE5039"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265</w:t>
            </w:r>
          </w:p>
        </w:tc>
        <w:tc>
          <w:tcPr>
            <w:tcW w:w="2048" w:type="dxa"/>
          </w:tcPr>
          <w:p w:rsidR="00FE5039"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56</w:t>
            </w:r>
          </w:p>
        </w:tc>
      </w:tr>
      <w:tr w:rsidR="00FE5039" w:rsidRPr="00AC0127"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548" w:type="dxa"/>
          </w:tcPr>
          <w:p w:rsidR="00FE5039" w:rsidRPr="0043789C" w:rsidRDefault="00FE5039" w:rsidP="00B03CC0">
            <w:pPr>
              <w:jc w:val="right"/>
              <w:rPr>
                <w:rFonts w:ascii="Century Gothic" w:hAnsi="Century Gothic"/>
                <w:i w:val="0"/>
                <w:color w:val="000000"/>
                <w:szCs w:val="20"/>
              </w:rPr>
            </w:pPr>
            <w:r>
              <w:rPr>
                <w:rFonts w:ascii="Century Gothic" w:hAnsi="Century Gothic"/>
                <w:i w:val="0"/>
                <w:color w:val="000000"/>
                <w:szCs w:val="20"/>
              </w:rPr>
              <w:t>2009</w:t>
            </w:r>
            <w:r w:rsidRPr="0043789C">
              <w:rPr>
                <w:rFonts w:ascii="Century Gothic" w:hAnsi="Century Gothic"/>
                <w:i w:val="0"/>
                <w:color w:val="000000"/>
                <w:szCs w:val="20"/>
              </w:rPr>
              <w:t xml:space="preserve"> </w:t>
            </w:r>
          </w:p>
        </w:tc>
        <w:tc>
          <w:tcPr>
            <w:tcW w:w="1618" w:type="dxa"/>
          </w:tcPr>
          <w:p w:rsidR="00FE5039"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13</w:t>
            </w:r>
          </w:p>
        </w:tc>
        <w:tc>
          <w:tcPr>
            <w:tcW w:w="1587" w:type="dxa"/>
          </w:tcPr>
          <w:p w:rsidR="00FE5039"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193</w:t>
            </w:r>
          </w:p>
        </w:tc>
        <w:tc>
          <w:tcPr>
            <w:tcW w:w="2048" w:type="dxa"/>
          </w:tcPr>
          <w:p w:rsidR="00FE5039"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67</w:t>
            </w:r>
          </w:p>
        </w:tc>
      </w:tr>
      <w:tr w:rsidR="00FE5039" w:rsidRPr="00AC0127" w:rsidTr="00B03CC0">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548" w:type="dxa"/>
          </w:tcPr>
          <w:p w:rsidR="00FE5039" w:rsidRPr="0043789C" w:rsidRDefault="00FE5039" w:rsidP="00B03CC0">
            <w:pPr>
              <w:jc w:val="right"/>
              <w:rPr>
                <w:rFonts w:ascii="Century Gothic" w:hAnsi="Century Gothic"/>
                <w:i w:val="0"/>
                <w:color w:val="000000"/>
                <w:szCs w:val="20"/>
              </w:rPr>
            </w:pPr>
            <w:r>
              <w:rPr>
                <w:rFonts w:ascii="Century Gothic" w:hAnsi="Century Gothic"/>
                <w:i w:val="0"/>
                <w:color w:val="000000"/>
                <w:szCs w:val="20"/>
              </w:rPr>
              <w:t>2010</w:t>
            </w:r>
            <w:r w:rsidRPr="0043789C">
              <w:rPr>
                <w:rFonts w:ascii="Century Gothic" w:hAnsi="Century Gothic"/>
                <w:i w:val="0"/>
                <w:color w:val="000000"/>
                <w:szCs w:val="20"/>
              </w:rPr>
              <w:t xml:space="preserve"> </w:t>
            </w:r>
          </w:p>
        </w:tc>
        <w:tc>
          <w:tcPr>
            <w:tcW w:w="1618" w:type="dxa"/>
          </w:tcPr>
          <w:p w:rsidR="00FE5039"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17</w:t>
            </w:r>
          </w:p>
        </w:tc>
        <w:tc>
          <w:tcPr>
            <w:tcW w:w="1587" w:type="dxa"/>
          </w:tcPr>
          <w:p w:rsidR="00FE5039"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415</w:t>
            </w:r>
          </w:p>
        </w:tc>
        <w:tc>
          <w:tcPr>
            <w:tcW w:w="2048" w:type="dxa"/>
          </w:tcPr>
          <w:p w:rsidR="00FE5039"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218</w:t>
            </w:r>
          </w:p>
        </w:tc>
      </w:tr>
      <w:tr w:rsidR="00FE5039" w:rsidRPr="00AC0127"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548" w:type="dxa"/>
          </w:tcPr>
          <w:p w:rsidR="00FE5039" w:rsidRPr="0043789C" w:rsidRDefault="00FE5039" w:rsidP="00B03CC0">
            <w:pPr>
              <w:jc w:val="right"/>
              <w:rPr>
                <w:rFonts w:ascii="Century Gothic" w:hAnsi="Century Gothic"/>
                <w:i w:val="0"/>
                <w:color w:val="000000"/>
                <w:szCs w:val="20"/>
              </w:rPr>
            </w:pPr>
            <w:r>
              <w:rPr>
                <w:rFonts w:ascii="Century Gothic" w:hAnsi="Century Gothic"/>
                <w:i w:val="0"/>
                <w:color w:val="000000"/>
                <w:szCs w:val="20"/>
              </w:rPr>
              <w:t>2011</w:t>
            </w:r>
            <w:r w:rsidRPr="0043789C">
              <w:rPr>
                <w:rFonts w:ascii="Century Gothic" w:hAnsi="Century Gothic"/>
                <w:i w:val="0"/>
                <w:color w:val="000000"/>
                <w:szCs w:val="20"/>
              </w:rPr>
              <w:t xml:space="preserve"> </w:t>
            </w:r>
          </w:p>
        </w:tc>
        <w:tc>
          <w:tcPr>
            <w:tcW w:w="1618" w:type="dxa"/>
          </w:tcPr>
          <w:p w:rsidR="00FE5039"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11</w:t>
            </w:r>
          </w:p>
        </w:tc>
        <w:tc>
          <w:tcPr>
            <w:tcW w:w="1587" w:type="dxa"/>
          </w:tcPr>
          <w:p w:rsidR="00FE5039"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409</w:t>
            </w:r>
          </w:p>
        </w:tc>
        <w:tc>
          <w:tcPr>
            <w:tcW w:w="2048" w:type="dxa"/>
          </w:tcPr>
          <w:p w:rsidR="00FE5039"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9</w:t>
            </w:r>
          </w:p>
        </w:tc>
      </w:tr>
      <w:tr w:rsidR="00FE5039" w:rsidRPr="00AC0127" w:rsidTr="00B03CC0">
        <w:trPr>
          <w:cnfStyle w:val="000000100000" w:firstRow="0" w:lastRow="0" w:firstColumn="0" w:lastColumn="0" w:oddVBand="0" w:evenVBand="0" w:oddHBand="1" w:evenHBand="0" w:firstRowFirstColumn="0" w:firstRowLastColumn="0" w:lastRowFirstColumn="0" w:lastRowLastColumn="0"/>
          <w:trHeight w:val="252"/>
          <w:jc w:val="center"/>
        </w:trPr>
        <w:tc>
          <w:tcPr>
            <w:cnfStyle w:val="001000000000" w:firstRow="0" w:lastRow="0" w:firstColumn="1" w:lastColumn="0" w:oddVBand="0" w:evenVBand="0" w:oddHBand="0" w:evenHBand="0" w:firstRowFirstColumn="0" w:firstRowLastColumn="0" w:lastRowFirstColumn="0" w:lastRowLastColumn="0"/>
            <w:tcW w:w="1548" w:type="dxa"/>
          </w:tcPr>
          <w:p w:rsidR="00FE5039" w:rsidRPr="0043789C" w:rsidRDefault="00FE5039" w:rsidP="00B03CC0">
            <w:pPr>
              <w:jc w:val="right"/>
              <w:rPr>
                <w:rFonts w:ascii="Century Gothic" w:hAnsi="Century Gothic"/>
                <w:i w:val="0"/>
                <w:color w:val="000000"/>
                <w:szCs w:val="20"/>
              </w:rPr>
            </w:pPr>
            <w:r>
              <w:rPr>
                <w:rFonts w:ascii="Century Gothic" w:hAnsi="Century Gothic"/>
                <w:i w:val="0"/>
                <w:color w:val="000000"/>
                <w:szCs w:val="20"/>
              </w:rPr>
              <w:t>2012</w:t>
            </w:r>
            <w:r w:rsidRPr="0043789C">
              <w:rPr>
                <w:rFonts w:ascii="Century Gothic" w:hAnsi="Century Gothic"/>
                <w:i w:val="0"/>
                <w:color w:val="000000"/>
                <w:szCs w:val="20"/>
              </w:rPr>
              <w:t xml:space="preserve"> </w:t>
            </w:r>
          </w:p>
        </w:tc>
        <w:tc>
          <w:tcPr>
            <w:tcW w:w="1618" w:type="dxa"/>
          </w:tcPr>
          <w:p w:rsidR="00FE5039"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13</w:t>
            </w:r>
          </w:p>
        </w:tc>
        <w:tc>
          <w:tcPr>
            <w:tcW w:w="1587" w:type="dxa"/>
          </w:tcPr>
          <w:p w:rsidR="00FE5039"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100</w:t>
            </w:r>
          </w:p>
        </w:tc>
        <w:tc>
          <w:tcPr>
            <w:tcW w:w="2048" w:type="dxa"/>
          </w:tcPr>
          <w:p w:rsidR="00FE5039"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46</w:t>
            </w:r>
          </w:p>
        </w:tc>
      </w:tr>
      <w:tr w:rsidR="00FE5039" w:rsidRPr="00AC0127"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548" w:type="dxa"/>
          </w:tcPr>
          <w:p w:rsidR="00FE5039" w:rsidRPr="0043789C" w:rsidRDefault="00FE5039" w:rsidP="00B03CC0">
            <w:pPr>
              <w:jc w:val="right"/>
              <w:rPr>
                <w:rFonts w:ascii="Century Gothic" w:hAnsi="Century Gothic"/>
                <w:i w:val="0"/>
                <w:color w:val="000000"/>
                <w:szCs w:val="20"/>
              </w:rPr>
            </w:pPr>
            <w:r w:rsidRPr="0043789C">
              <w:rPr>
                <w:rFonts w:ascii="Century Gothic" w:hAnsi="Century Gothic"/>
                <w:i w:val="0"/>
                <w:color w:val="000000"/>
                <w:szCs w:val="20"/>
              </w:rPr>
              <w:t>2013</w:t>
            </w:r>
          </w:p>
        </w:tc>
        <w:tc>
          <w:tcPr>
            <w:tcW w:w="1618" w:type="dxa"/>
          </w:tcPr>
          <w:p w:rsidR="00FE5039"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19</w:t>
            </w:r>
          </w:p>
        </w:tc>
        <w:tc>
          <w:tcPr>
            <w:tcW w:w="1587" w:type="dxa"/>
          </w:tcPr>
          <w:p w:rsidR="00FE5039"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720</w:t>
            </w:r>
          </w:p>
        </w:tc>
        <w:tc>
          <w:tcPr>
            <w:tcW w:w="2048" w:type="dxa"/>
          </w:tcPr>
          <w:p w:rsidR="00FE5039"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147</w:t>
            </w:r>
          </w:p>
        </w:tc>
      </w:tr>
      <w:tr w:rsidR="00FE5039" w:rsidRPr="00AC0127" w:rsidTr="00B03CC0">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548" w:type="dxa"/>
          </w:tcPr>
          <w:p w:rsidR="00FE5039" w:rsidRPr="0043789C" w:rsidRDefault="00FE5039" w:rsidP="00B03CC0">
            <w:pPr>
              <w:jc w:val="right"/>
              <w:rPr>
                <w:rFonts w:ascii="Century Gothic" w:hAnsi="Century Gothic"/>
                <w:i w:val="0"/>
                <w:color w:val="000000"/>
                <w:szCs w:val="20"/>
              </w:rPr>
            </w:pPr>
            <w:r w:rsidRPr="0043789C">
              <w:rPr>
                <w:rFonts w:ascii="Century Gothic" w:hAnsi="Century Gothic"/>
                <w:i w:val="0"/>
                <w:color w:val="000000"/>
                <w:szCs w:val="20"/>
              </w:rPr>
              <w:t>2014</w:t>
            </w:r>
          </w:p>
        </w:tc>
        <w:tc>
          <w:tcPr>
            <w:tcW w:w="1618" w:type="dxa"/>
          </w:tcPr>
          <w:p w:rsidR="00FE5039"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9</w:t>
            </w:r>
          </w:p>
        </w:tc>
        <w:tc>
          <w:tcPr>
            <w:tcW w:w="1587" w:type="dxa"/>
          </w:tcPr>
          <w:p w:rsidR="00FE5039"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250</w:t>
            </w:r>
          </w:p>
        </w:tc>
        <w:tc>
          <w:tcPr>
            <w:tcW w:w="2048" w:type="dxa"/>
          </w:tcPr>
          <w:p w:rsidR="00FE5039"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8</w:t>
            </w:r>
          </w:p>
        </w:tc>
      </w:tr>
      <w:tr w:rsidR="00FE5039" w:rsidRPr="00AC0127"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548" w:type="dxa"/>
          </w:tcPr>
          <w:p w:rsidR="00FE5039" w:rsidRPr="0043789C" w:rsidRDefault="00FE5039" w:rsidP="00B03CC0">
            <w:pPr>
              <w:jc w:val="right"/>
              <w:rPr>
                <w:rFonts w:ascii="Century Gothic" w:hAnsi="Century Gothic"/>
                <w:i w:val="0"/>
                <w:color w:val="000000"/>
                <w:szCs w:val="20"/>
              </w:rPr>
            </w:pPr>
            <w:r w:rsidRPr="0043789C">
              <w:rPr>
                <w:rFonts w:ascii="Century Gothic" w:hAnsi="Century Gothic"/>
                <w:i w:val="0"/>
                <w:color w:val="000000"/>
                <w:szCs w:val="20"/>
              </w:rPr>
              <w:t>2015</w:t>
            </w:r>
          </w:p>
        </w:tc>
        <w:tc>
          <w:tcPr>
            <w:tcW w:w="1618" w:type="dxa"/>
          </w:tcPr>
          <w:p w:rsidR="00FE5039"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16</w:t>
            </w:r>
          </w:p>
        </w:tc>
        <w:tc>
          <w:tcPr>
            <w:tcW w:w="1587" w:type="dxa"/>
          </w:tcPr>
          <w:p w:rsidR="00FE5039"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124</w:t>
            </w:r>
          </w:p>
        </w:tc>
        <w:tc>
          <w:tcPr>
            <w:tcW w:w="2048" w:type="dxa"/>
          </w:tcPr>
          <w:p w:rsidR="00FE5039"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rPr>
            </w:pPr>
            <w:r>
              <w:rPr>
                <w:rFonts w:ascii="Century Gothic" w:hAnsi="Century Gothic"/>
                <w:color w:val="000000"/>
                <w:szCs w:val="20"/>
              </w:rPr>
              <w:t>22</w:t>
            </w:r>
          </w:p>
        </w:tc>
      </w:tr>
      <w:tr w:rsidR="00FE5039" w:rsidRPr="00AC0127" w:rsidTr="00B03CC0">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548" w:type="dxa"/>
          </w:tcPr>
          <w:p w:rsidR="00FE5039" w:rsidRPr="0043789C" w:rsidRDefault="00FE5039" w:rsidP="00B03CC0">
            <w:pPr>
              <w:jc w:val="right"/>
              <w:rPr>
                <w:rFonts w:ascii="Century Gothic" w:hAnsi="Century Gothic"/>
                <w:i w:val="0"/>
                <w:color w:val="000000"/>
                <w:szCs w:val="20"/>
              </w:rPr>
            </w:pPr>
            <w:r w:rsidRPr="0043789C">
              <w:rPr>
                <w:rFonts w:ascii="Century Gothic" w:hAnsi="Century Gothic"/>
                <w:i w:val="0"/>
                <w:color w:val="000000"/>
                <w:szCs w:val="20"/>
              </w:rPr>
              <w:t>2016</w:t>
            </w:r>
          </w:p>
        </w:tc>
        <w:tc>
          <w:tcPr>
            <w:tcW w:w="1618" w:type="dxa"/>
          </w:tcPr>
          <w:p w:rsidR="00FE5039"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15</w:t>
            </w:r>
          </w:p>
        </w:tc>
        <w:tc>
          <w:tcPr>
            <w:tcW w:w="1587" w:type="dxa"/>
          </w:tcPr>
          <w:p w:rsidR="00FE5039"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187</w:t>
            </w:r>
          </w:p>
        </w:tc>
        <w:tc>
          <w:tcPr>
            <w:tcW w:w="2048" w:type="dxa"/>
          </w:tcPr>
          <w:p w:rsidR="00FE5039"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olor w:val="000000"/>
                <w:szCs w:val="20"/>
              </w:rPr>
            </w:pPr>
            <w:r>
              <w:rPr>
                <w:rFonts w:ascii="Century Gothic" w:hAnsi="Century Gothic"/>
                <w:color w:val="000000"/>
                <w:szCs w:val="20"/>
              </w:rPr>
              <w:t>14</w:t>
            </w:r>
          </w:p>
        </w:tc>
      </w:tr>
      <w:tr w:rsidR="00FE5039" w:rsidRPr="00AC0127"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548" w:type="dxa"/>
          </w:tcPr>
          <w:p w:rsidR="00FE5039" w:rsidRPr="00AD391B" w:rsidRDefault="00FE5039" w:rsidP="00B03CC0">
            <w:pPr>
              <w:jc w:val="right"/>
              <w:rPr>
                <w:rFonts w:ascii="Century Gothic" w:hAnsi="Century Gothic"/>
                <w:color w:val="000000"/>
                <w:szCs w:val="20"/>
                <w:lang w:val="sr-Cyrl-RS"/>
              </w:rPr>
            </w:pPr>
            <w:r>
              <w:rPr>
                <w:rFonts w:ascii="Century Gothic" w:hAnsi="Century Gothic"/>
                <w:color w:val="000000"/>
                <w:szCs w:val="20"/>
                <w:lang w:val="sr-Cyrl-RS"/>
              </w:rPr>
              <w:t>2017</w:t>
            </w:r>
          </w:p>
        </w:tc>
        <w:tc>
          <w:tcPr>
            <w:tcW w:w="1618" w:type="dxa"/>
          </w:tcPr>
          <w:p w:rsidR="00FE5039" w:rsidRPr="006B4CDC"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lang w:val="sr-Cyrl-RS"/>
              </w:rPr>
            </w:pPr>
            <w:r>
              <w:rPr>
                <w:rFonts w:ascii="Century Gothic" w:hAnsi="Century Gothic"/>
                <w:color w:val="000000"/>
                <w:szCs w:val="20"/>
                <w:lang w:val="sr-Cyrl-RS"/>
              </w:rPr>
              <w:t>4</w:t>
            </w:r>
          </w:p>
        </w:tc>
        <w:tc>
          <w:tcPr>
            <w:tcW w:w="1587" w:type="dxa"/>
          </w:tcPr>
          <w:p w:rsidR="00FE5039" w:rsidRPr="006B4CDC"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lang w:val="sr-Cyrl-RS"/>
              </w:rPr>
            </w:pPr>
            <w:r>
              <w:rPr>
                <w:rFonts w:ascii="Century Gothic" w:hAnsi="Century Gothic"/>
                <w:color w:val="000000"/>
                <w:szCs w:val="20"/>
                <w:lang w:val="sr-Cyrl-RS"/>
              </w:rPr>
              <w:t>68</w:t>
            </w:r>
          </w:p>
        </w:tc>
        <w:tc>
          <w:tcPr>
            <w:tcW w:w="2048" w:type="dxa"/>
          </w:tcPr>
          <w:p w:rsidR="00FE5039" w:rsidRPr="006B4CDC"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lang w:val="sr-Cyrl-RS"/>
              </w:rPr>
            </w:pPr>
            <w:r>
              <w:rPr>
                <w:rFonts w:ascii="Century Gothic" w:hAnsi="Century Gothic"/>
                <w:color w:val="000000"/>
                <w:szCs w:val="20"/>
                <w:lang w:val="sr-Cyrl-RS"/>
              </w:rPr>
              <w:t>17</w:t>
            </w:r>
          </w:p>
        </w:tc>
      </w:tr>
      <w:tr w:rsidR="00FE5039" w:rsidRPr="00AC0127" w:rsidTr="00B03CC0">
        <w:trPr>
          <w:cnfStyle w:val="000000100000" w:firstRow="0" w:lastRow="0" w:firstColumn="0" w:lastColumn="0" w:oddVBand="0" w:evenVBand="0" w:oddHBand="1" w:evenHBand="0" w:firstRowFirstColumn="0" w:firstRowLastColumn="0" w:lastRowFirstColumn="0" w:lastRowLastColumn="0"/>
          <w:trHeight w:val="377"/>
          <w:jc w:val="center"/>
        </w:trPr>
        <w:tc>
          <w:tcPr>
            <w:cnfStyle w:val="001000000000" w:firstRow="0" w:lastRow="0" w:firstColumn="1" w:lastColumn="0" w:oddVBand="0" w:evenVBand="0" w:oddHBand="0" w:evenHBand="0" w:firstRowFirstColumn="0" w:firstRowLastColumn="0" w:lastRowFirstColumn="0" w:lastRowLastColumn="0"/>
            <w:tcW w:w="1548" w:type="dxa"/>
          </w:tcPr>
          <w:p w:rsidR="00FE5039" w:rsidRDefault="00FE5039" w:rsidP="00B03CC0">
            <w:pPr>
              <w:jc w:val="right"/>
              <w:rPr>
                <w:rFonts w:ascii="Century Gothic" w:hAnsi="Century Gothic"/>
                <w:b/>
                <w:bCs/>
                <w:color w:val="000000"/>
                <w:szCs w:val="20"/>
              </w:rPr>
            </w:pPr>
            <w:r>
              <w:rPr>
                <w:rFonts w:ascii="Century Gothic" w:hAnsi="Century Gothic"/>
                <w:b/>
                <w:bCs/>
                <w:color w:val="000000"/>
                <w:szCs w:val="20"/>
              </w:rPr>
              <w:t xml:space="preserve">Укупно </w:t>
            </w:r>
          </w:p>
        </w:tc>
        <w:tc>
          <w:tcPr>
            <w:tcW w:w="1618" w:type="dxa"/>
          </w:tcPr>
          <w:p w:rsidR="00FE5039" w:rsidRPr="006B4CDC"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szCs w:val="20"/>
                <w:lang w:val="sr-Cyrl-RS"/>
              </w:rPr>
            </w:pPr>
            <w:r>
              <w:rPr>
                <w:rFonts w:ascii="Century Gothic" w:hAnsi="Century Gothic"/>
                <w:b/>
                <w:bCs/>
                <w:color w:val="000000"/>
                <w:szCs w:val="20"/>
                <w:lang w:val="sr-Cyrl-RS"/>
              </w:rPr>
              <w:t>136</w:t>
            </w:r>
          </w:p>
        </w:tc>
        <w:tc>
          <w:tcPr>
            <w:tcW w:w="1587" w:type="dxa"/>
          </w:tcPr>
          <w:p w:rsidR="00FE5039" w:rsidRPr="006B4CDC"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szCs w:val="20"/>
                <w:lang w:val="sr-Cyrl-RS"/>
              </w:rPr>
            </w:pPr>
            <w:r>
              <w:rPr>
                <w:rFonts w:ascii="Century Gothic" w:hAnsi="Century Gothic"/>
                <w:b/>
                <w:bCs/>
                <w:color w:val="000000"/>
                <w:szCs w:val="20"/>
                <w:lang w:val="sr-Cyrl-RS"/>
              </w:rPr>
              <w:t>2731</w:t>
            </w:r>
          </w:p>
        </w:tc>
        <w:tc>
          <w:tcPr>
            <w:tcW w:w="2048" w:type="dxa"/>
          </w:tcPr>
          <w:p w:rsidR="00FE5039" w:rsidRPr="006B4CDC"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b/>
                <w:bCs/>
                <w:color w:val="000000"/>
                <w:szCs w:val="20"/>
                <w:lang w:val="sr-Cyrl-RS"/>
              </w:rPr>
            </w:pPr>
            <w:r>
              <w:rPr>
                <w:rFonts w:ascii="Century Gothic" w:hAnsi="Century Gothic"/>
                <w:b/>
                <w:bCs/>
                <w:color w:val="000000"/>
                <w:szCs w:val="20"/>
                <w:lang w:val="sr-Cyrl-RS"/>
              </w:rPr>
              <w:t>604</w:t>
            </w:r>
          </w:p>
        </w:tc>
      </w:tr>
    </w:tbl>
    <w:p w:rsidR="00FE5039" w:rsidRDefault="00FE5039" w:rsidP="00B03CC0">
      <w:pPr>
        <w:spacing w:after="0"/>
        <w:ind w:right="107"/>
      </w:pPr>
    </w:p>
    <w:p w:rsidR="00073649" w:rsidRDefault="00073649" w:rsidP="00A369D0">
      <w:pPr>
        <w:rPr>
          <w:lang w:val="sr-Cyrl-RS"/>
        </w:rPr>
      </w:pPr>
      <w:r>
        <w:rPr>
          <w:lang w:val="sr-Cyrl-RS"/>
        </w:rPr>
        <w:t>Најчешће регистровано обољење из ове групе су д</w:t>
      </w:r>
      <w:r w:rsidRPr="00C66E51">
        <w:rPr>
          <w:u w:val="single"/>
          <w:lang w:val="sr-Cyrl-RS"/>
        </w:rPr>
        <w:t>ијареје и гастроентеритиси веровато вирусне етиологије</w:t>
      </w:r>
      <w:r>
        <w:rPr>
          <w:lang w:val="sr-Cyrl-RS"/>
        </w:rPr>
        <w:t xml:space="preserve">. </w:t>
      </w:r>
      <w:r w:rsidR="00C66E51">
        <w:rPr>
          <w:lang w:val="sr-Cyrl-RS"/>
        </w:rPr>
        <w:t xml:space="preserve"> </w:t>
      </w:r>
      <w:r w:rsidR="00016E48">
        <w:rPr>
          <w:lang w:val="sr-Cyrl-RS"/>
        </w:rPr>
        <w:t xml:space="preserve">Обољење  се </w:t>
      </w:r>
      <w:r w:rsidR="00016E48">
        <w:rPr>
          <w:rFonts w:asciiTheme="majorHAnsi" w:eastAsia="Times New Roman" w:hAnsiTheme="majorHAnsi" w:cs="Arial"/>
          <w:szCs w:val="20"/>
          <w:lang w:val="sr-Cyrl-RS" w:eastAsia="en-US"/>
        </w:rPr>
        <w:t>р</w:t>
      </w:r>
      <w:r w:rsidR="008B5AEF">
        <w:rPr>
          <w:rFonts w:asciiTheme="majorHAnsi" w:eastAsia="Times New Roman" w:hAnsiTheme="majorHAnsi" w:cs="Arial"/>
          <w:szCs w:val="20"/>
          <w:lang w:val="sr-Cyrl-RS" w:eastAsia="en-US"/>
        </w:rPr>
        <w:t xml:space="preserve">егиструје </w:t>
      </w:r>
      <w:r w:rsidR="008B5AEF" w:rsidRPr="00AA0A1D">
        <w:rPr>
          <w:rFonts w:asciiTheme="majorHAnsi" w:eastAsia="Times New Roman" w:hAnsiTheme="majorHAnsi" w:cs="Arial"/>
          <w:szCs w:val="20"/>
          <w:lang w:val="sr-Cyrl-RS" w:eastAsia="en-US"/>
        </w:rPr>
        <w:t>у свим узрастима</w:t>
      </w:r>
      <w:r w:rsidR="008B5AEF">
        <w:rPr>
          <w:rFonts w:asciiTheme="majorHAnsi" w:eastAsia="Times New Roman" w:hAnsiTheme="majorHAnsi" w:cs="Arial"/>
          <w:szCs w:val="20"/>
          <w:lang w:val="sr-Cyrl-RS" w:eastAsia="en-US"/>
        </w:rPr>
        <w:t xml:space="preserve"> и има значајан епидемијски потенцијал</w:t>
      </w:r>
      <w:r w:rsidR="008B5AEF">
        <w:rPr>
          <w:rFonts w:asciiTheme="majorHAnsi" w:eastAsia="Times New Roman" w:hAnsiTheme="majorHAnsi" w:cs="Arial"/>
          <w:szCs w:val="20"/>
          <w:lang w:eastAsia="en-US"/>
        </w:rPr>
        <w:t>.</w:t>
      </w:r>
    </w:p>
    <w:p w:rsidR="00D37C41" w:rsidRPr="00D37C41" w:rsidRDefault="00D37C41" w:rsidP="00D37C41">
      <w:pPr>
        <w:rPr>
          <w:rFonts w:asciiTheme="majorHAnsi" w:hAnsiTheme="majorHAnsi" w:cs="Arial"/>
          <w:szCs w:val="20"/>
          <w:lang w:val="sr-Latn-CS"/>
        </w:rPr>
      </w:pPr>
      <w:bookmarkStart w:id="31" w:name="_Toc389134530"/>
      <w:bookmarkStart w:id="32" w:name="_Toc515520364"/>
      <w:bookmarkStart w:id="33" w:name="_Toc515524206"/>
      <w:r w:rsidRPr="00D37C41">
        <w:rPr>
          <w:rFonts w:asciiTheme="majorHAnsi" w:hAnsiTheme="majorHAnsi" w:cs="Arial"/>
          <w:szCs w:val="20"/>
          <w:lang w:val="sr-Latn-CS"/>
        </w:rPr>
        <w:t xml:space="preserve">Епидемиолошка ситуација </w:t>
      </w:r>
      <w:r w:rsidRPr="00D37C41">
        <w:rPr>
          <w:rFonts w:asciiTheme="majorHAnsi" w:hAnsiTheme="majorHAnsi" w:cs="Arial"/>
          <w:b/>
          <w:szCs w:val="20"/>
          <w:lang w:val="sr-Latn-CS"/>
        </w:rPr>
        <w:t>хепатитиса А</w:t>
      </w:r>
      <w:r w:rsidRPr="00D37C41">
        <w:rPr>
          <w:rFonts w:asciiTheme="majorHAnsi" w:hAnsiTheme="majorHAnsi" w:cs="Arial"/>
          <w:szCs w:val="20"/>
          <w:lang w:val="sr-Latn-CS"/>
        </w:rPr>
        <w:t xml:space="preserve"> у Војводини је повољна. </w:t>
      </w:r>
      <w:r w:rsidRPr="00D37C41">
        <w:rPr>
          <w:rFonts w:asciiTheme="majorHAnsi" w:hAnsiTheme="majorHAnsi" w:cs="Arial"/>
          <w:szCs w:val="20"/>
          <w:lang w:val="sr-Cyrl-CS"/>
        </w:rPr>
        <w:t>Након епидемијског таласа</w:t>
      </w:r>
      <w:r w:rsidRPr="00D37C41">
        <w:rPr>
          <w:rFonts w:asciiTheme="majorHAnsi" w:hAnsiTheme="majorHAnsi" w:cs="Arial"/>
          <w:szCs w:val="20"/>
          <w:lang w:val="sr-Latn-CS"/>
        </w:rPr>
        <w:t>,</w:t>
      </w:r>
      <w:r w:rsidRPr="00D37C41">
        <w:rPr>
          <w:rFonts w:asciiTheme="majorHAnsi" w:hAnsiTheme="majorHAnsi" w:cs="Arial"/>
          <w:szCs w:val="20"/>
          <w:lang w:val="sr-Cyrl-CS"/>
        </w:rPr>
        <w:t xml:space="preserve"> са пиком оболевања 2007.</w:t>
      </w:r>
      <w:r w:rsidRPr="00D37C41">
        <w:rPr>
          <w:rFonts w:asciiTheme="majorHAnsi" w:hAnsiTheme="majorHAnsi" w:cs="Arial"/>
          <w:szCs w:val="20"/>
          <w:lang w:val="sr-Latn-CS"/>
        </w:rPr>
        <w:t xml:space="preserve"> </w:t>
      </w:r>
      <w:r w:rsidRPr="00D37C41">
        <w:rPr>
          <w:rFonts w:asciiTheme="majorHAnsi" w:hAnsiTheme="majorHAnsi" w:cs="Arial"/>
          <w:szCs w:val="20"/>
          <w:lang w:val="sr-Cyrl-CS"/>
        </w:rPr>
        <w:t>године</w:t>
      </w:r>
      <w:r w:rsidRPr="00D37C41">
        <w:rPr>
          <w:rFonts w:asciiTheme="majorHAnsi" w:hAnsiTheme="majorHAnsi" w:cs="Arial"/>
          <w:szCs w:val="20"/>
          <w:lang w:val="sr-Latn-CS"/>
        </w:rPr>
        <w:t xml:space="preserve"> </w:t>
      </w:r>
      <w:r w:rsidRPr="00D37C41">
        <w:rPr>
          <w:rFonts w:asciiTheme="majorHAnsi" w:hAnsiTheme="majorHAnsi" w:cs="Arial"/>
          <w:szCs w:val="20"/>
          <w:lang w:val="sr-Cyrl-CS"/>
        </w:rPr>
        <w:t xml:space="preserve">и 539 регистрованих случајева, ово обољење </w:t>
      </w:r>
      <w:r w:rsidRPr="00D37C41">
        <w:rPr>
          <w:rFonts w:asciiTheme="majorHAnsi" w:hAnsiTheme="majorHAnsi" w:cs="Arial"/>
          <w:szCs w:val="20"/>
          <w:lang w:val="sr-Latn-CS"/>
        </w:rPr>
        <w:t>има опадајући тренд</w:t>
      </w:r>
      <w:r w:rsidRPr="00D37C41">
        <w:rPr>
          <w:rFonts w:asciiTheme="majorHAnsi" w:hAnsiTheme="majorHAnsi" w:cs="Arial"/>
          <w:szCs w:val="20"/>
          <w:lang w:val="sr-Cyrl-CS"/>
        </w:rPr>
        <w:t>.</w:t>
      </w:r>
      <w:r w:rsidRPr="00D37C41">
        <w:rPr>
          <w:rFonts w:asciiTheme="majorHAnsi" w:hAnsiTheme="majorHAnsi" w:cs="Arial"/>
          <w:szCs w:val="20"/>
          <w:lang w:val="sr-Latn-CS"/>
        </w:rPr>
        <w:t xml:space="preserve"> </w:t>
      </w:r>
      <w:r w:rsidRPr="00D37C41">
        <w:rPr>
          <w:rFonts w:asciiTheme="majorHAnsi" w:hAnsiTheme="majorHAnsi" w:cs="Arial"/>
          <w:szCs w:val="20"/>
          <w:lang w:val="sr-Cyrl-RS"/>
        </w:rPr>
        <w:t>О</w:t>
      </w:r>
      <w:r w:rsidRPr="00D37C41">
        <w:rPr>
          <w:rFonts w:asciiTheme="majorHAnsi" w:hAnsiTheme="majorHAnsi" w:cs="Arial"/>
          <w:szCs w:val="20"/>
          <w:lang w:val="sr-Latn-CS"/>
        </w:rPr>
        <w:t xml:space="preserve">бзиром да инфекција хепатитис А вирусом оставља доживотни имунитет, пад инциденције је праћен порастом осетљиве популације. Агломерација осетљивих лица у условима неадекватне хигијене, </w:t>
      </w:r>
      <w:r w:rsidRPr="00D37C41">
        <w:rPr>
          <w:rFonts w:asciiTheme="majorHAnsi" w:hAnsiTheme="majorHAnsi" w:cs="Arial"/>
          <w:szCs w:val="20"/>
          <w:lang w:val="sr-Cyrl-CS"/>
        </w:rPr>
        <w:t xml:space="preserve">нерешене </w:t>
      </w:r>
      <w:r w:rsidRPr="00D37C41">
        <w:rPr>
          <w:rFonts w:asciiTheme="majorHAnsi" w:hAnsiTheme="majorHAnsi" w:cs="Arial"/>
          <w:szCs w:val="20"/>
          <w:lang w:val="sr-Latn-CS"/>
        </w:rPr>
        <w:t>диспозиције отпадних материја</w:t>
      </w:r>
      <w:r w:rsidRPr="00D37C41">
        <w:rPr>
          <w:rFonts w:asciiTheme="majorHAnsi" w:hAnsiTheme="majorHAnsi" w:cs="Arial"/>
          <w:szCs w:val="20"/>
          <w:lang w:val="sr-Cyrl-CS"/>
        </w:rPr>
        <w:t>, пропуста у водоснабдевању</w:t>
      </w:r>
      <w:r w:rsidRPr="00D37C41">
        <w:rPr>
          <w:rFonts w:asciiTheme="majorHAnsi" w:hAnsiTheme="majorHAnsi" w:cs="Arial"/>
          <w:szCs w:val="20"/>
          <w:lang w:val="sr-Latn-CS"/>
        </w:rPr>
        <w:t xml:space="preserve"> или елементарних непогода, може да представља </w:t>
      </w:r>
      <w:r w:rsidRPr="00D37C41">
        <w:rPr>
          <w:rFonts w:asciiTheme="majorHAnsi" w:hAnsiTheme="majorHAnsi" w:cs="Arial"/>
          <w:szCs w:val="20"/>
          <w:lang w:val="sr-Cyrl-RS"/>
        </w:rPr>
        <w:t xml:space="preserve">потенцијални </w:t>
      </w:r>
      <w:r w:rsidRPr="00D37C41">
        <w:rPr>
          <w:rFonts w:asciiTheme="majorHAnsi" w:hAnsiTheme="majorHAnsi" w:cs="Arial"/>
          <w:szCs w:val="20"/>
          <w:lang w:val="sr-Latn-CS"/>
        </w:rPr>
        <w:t>ризик за погоршање епидемиолошке ситуације</w:t>
      </w:r>
      <w:r w:rsidRPr="00D37C41">
        <w:rPr>
          <w:rFonts w:asciiTheme="majorHAnsi" w:hAnsiTheme="majorHAnsi" w:cs="Arial"/>
          <w:szCs w:val="20"/>
          <w:lang w:val="sr-Cyrl-RS"/>
        </w:rPr>
        <w:t xml:space="preserve"> овог обољења</w:t>
      </w:r>
      <w:r w:rsidRPr="00D37C41">
        <w:rPr>
          <w:rFonts w:asciiTheme="majorHAnsi" w:hAnsiTheme="majorHAnsi" w:cs="Arial"/>
          <w:szCs w:val="20"/>
          <w:lang w:val="sr-Latn-CS"/>
        </w:rPr>
        <w:t xml:space="preserve">. </w:t>
      </w:r>
    </w:p>
    <w:p w:rsidR="00FE5039" w:rsidRPr="009254FB" w:rsidRDefault="00FE5039" w:rsidP="00B03CC0">
      <w:pPr>
        <w:pStyle w:val="Heading2"/>
        <w:rPr>
          <w:rFonts w:ascii="Century Gothic" w:hAnsi="Century Gothic"/>
          <w:b/>
          <w:sz w:val="22"/>
          <w:szCs w:val="22"/>
          <w:lang w:eastAsia="sr-Latn-RS"/>
        </w:rPr>
      </w:pPr>
      <w:r w:rsidRPr="009254FB">
        <w:rPr>
          <w:rFonts w:ascii="Century Gothic" w:hAnsi="Century Gothic"/>
          <w:b/>
          <w:sz w:val="22"/>
          <w:szCs w:val="22"/>
          <w:lang w:eastAsia="sr-Latn-RS"/>
        </w:rPr>
        <w:t>Аерогене епидемије</w:t>
      </w:r>
      <w:bookmarkEnd w:id="31"/>
      <w:bookmarkEnd w:id="32"/>
      <w:bookmarkEnd w:id="33"/>
      <w:r w:rsidRPr="009254FB">
        <w:rPr>
          <w:rFonts w:ascii="Century Gothic" w:hAnsi="Century Gothic"/>
          <w:b/>
          <w:sz w:val="22"/>
          <w:szCs w:val="22"/>
          <w:lang w:eastAsia="sr-Latn-RS"/>
        </w:rPr>
        <w:t xml:space="preserve"> </w:t>
      </w:r>
    </w:p>
    <w:p w:rsidR="00FE5039" w:rsidRDefault="00FE5039" w:rsidP="00CD3763">
      <w:r w:rsidRPr="00C571DA">
        <w:t xml:space="preserve">Последњих десет година на подручју АП Војводине је годишње регистровано између </w:t>
      </w:r>
      <w:r>
        <w:t>четири</w:t>
      </w:r>
      <w:r w:rsidRPr="00C571DA">
        <w:t xml:space="preserve"> </w:t>
      </w:r>
      <w:r>
        <w:t xml:space="preserve">(2010. године) </w:t>
      </w:r>
      <w:r w:rsidRPr="00C571DA">
        <w:t xml:space="preserve">и 16 </w:t>
      </w:r>
      <w:r>
        <w:t xml:space="preserve">(2014. године) </w:t>
      </w:r>
      <w:r w:rsidRPr="00C571DA">
        <w:t>епидемија</w:t>
      </w:r>
      <w:r>
        <w:t xml:space="preserve"> </w:t>
      </w:r>
      <w:r w:rsidR="00617853">
        <w:t>које су се шириле ваздухом,</w:t>
      </w:r>
      <w:bookmarkStart w:id="34" w:name="_GoBack"/>
      <w:bookmarkEnd w:id="34"/>
      <w:r>
        <w:t xml:space="preserve"> директним (респираторне капљице) или индиректним преношењем</w:t>
      </w:r>
      <w:r w:rsidRPr="00C571DA">
        <w:t xml:space="preserve"> (</w:t>
      </w:r>
      <w:r w:rsidR="008B5AEF">
        <w:t>табела 12</w:t>
      </w:r>
      <w:r w:rsidRPr="00C571DA">
        <w:t>).</w:t>
      </w:r>
    </w:p>
    <w:p w:rsidR="00FE5039" w:rsidRDefault="00FE5039" w:rsidP="00B03CC0">
      <w:pPr>
        <w:pStyle w:val="Caption"/>
        <w:spacing w:after="160"/>
      </w:pPr>
      <w:r w:rsidRPr="00C975C8">
        <w:t xml:space="preserve">табела </w:t>
      </w:r>
      <w:r w:rsidR="008B5AEF">
        <w:t>12</w:t>
      </w:r>
      <w:r>
        <w:t>.</w:t>
      </w:r>
      <w:r w:rsidRPr="00C975C8">
        <w:t xml:space="preserve"> </w:t>
      </w:r>
      <w:r w:rsidRPr="00F970AC">
        <w:t>Аерогене епидемије у АП Војводини у периоду од 200</w:t>
      </w:r>
      <w:r>
        <w:t>8</w:t>
      </w:r>
      <w:r w:rsidRPr="00F970AC">
        <w:t>. до 201</w:t>
      </w:r>
      <w:r>
        <w:t>7</w:t>
      </w:r>
      <w:r w:rsidRPr="00F970AC">
        <w:t xml:space="preserve">. године </w:t>
      </w:r>
    </w:p>
    <w:tbl>
      <w:tblPr>
        <w:tblStyle w:val="PlainTable51"/>
        <w:tblW w:w="6801" w:type="dxa"/>
        <w:jc w:val="center"/>
        <w:tblLook w:val="04A0" w:firstRow="1" w:lastRow="0" w:firstColumn="1" w:lastColumn="0" w:noHBand="0" w:noVBand="1"/>
      </w:tblPr>
      <w:tblGrid>
        <w:gridCol w:w="1524"/>
        <w:gridCol w:w="1605"/>
        <w:gridCol w:w="1570"/>
        <w:gridCol w:w="2102"/>
      </w:tblGrid>
      <w:tr w:rsidR="00FE5039" w:rsidRPr="008B39C0" w:rsidTr="00B03CC0">
        <w:trPr>
          <w:cnfStyle w:val="100000000000" w:firstRow="1" w:lastRow="0" w:firstColumn="0" w:lastColumn="0" w:oddVBand="0" w:evenVBand="0" w:oddHBand="0" w:evenHBand="0" w:firstRowFirstColumn="0" w:firstRowLastColumn="0" w:lastRowFirstColumn="0" w:lastRowLastColumn="0"/>
          <w:trHeight w:val="270"/>
          <w:jc w:val="center"/>
        </w:trPr>
        <w:tc>
          <w:tcPr>
            <w:cnfStyle w:val="001000000100" w:firstRow="0" w:lastRow="0" w:firstColumn="1" w:lastColumn="0" w:oddVBand="0" w:evenVBand="0" w:oddHBand="0" w:evenHBand="0" w:firstRowFirstColumn="1" w:firstRowLastColumn="0" w:lastRowFirstColumn="0" w:lastRowLastColumn="0"/>
            <w:tcW w:w="1548" w:type="dxa"/>
          </w:tcPr>
          <w:p w:rsidR="00FE5039" w:rsidRPr="008B39C0" w:rsidRDefault="00FE5039" w:rsidP="00B03CC0">
            <w:pPr>
              <w:spacing w:line="259" w:lineRule="auto"/>
              <w:ind w:right="53"/>
              <w:jc w:val="right"/>
              <w:rPr>
                <w:i w:val="0"/>
              </w:rPr>
            </w:pPr>
            <w:r w:rsidRPr="008B39C0">
              <w:rPr>
                <w:i w:val="0"/>
                <w:color w:val="FFFFFF"/>
              </w:rPr>
              <w:t xml:space="preserve">Година </w:t>
            </w:r>
          </w:p>
        </w:tc>
        <w:tc>
          <w:tcPr>
            <w:tcW w:w="1618" w:type="dxa"/>
          </w:tcPr>
          <w:p w:rsidR="00FE5039" w:rsidRPr="008B39C0" w:rsidRDefault="00FE5039" w:rsidP="00B03CC0">
            <w:pPr>
              <w:spacing w:line="259" w:lineRule="auto"/>
              <w:jc w:val="right"/>
              <w:cnfStyle w:val="100000000000" w:firstRow="1" w:lastRow="0" w:firstColumn="0" w:lastColumn="0" w:oddVBand="0" w:evenVBand="0" w:oddHBand="0" w:evenHBand="0" w:firstRowFirstColumn="0" w:firstRowLastColumn="0" w:lastRowFirstColumn="0" w:lastRowLastColumn="0"/>
              <w:rPr>
                <w:i w:val="0"/>
              </w:rPr>
            </w:pPr>
            <w:r w:rsidRPr="008B39C0">
              <w:rPr>
                <w:i w:val="0"/>
                <w:color w:val="FFFFFF"/>
              </w:rPr>
              <w:t>Број епидемија</w:t>
            </w:r>
          </w:p>
        </w:tc>
        <w:tc>
          <w:tcPr>
            <w:tcW w:w="1587" w:type="dxa"/>
          </w:tcPr>
          <w:p w:rsidR="00FE5039" w:rsidRPr="008B39C0" w:rsidRDefault="00FE5039" w:rsidP="00B03CC0">
            <w:pPr>
              <w:spacing w:line="259" w:lineRule="auto"/>
              <w:jc w:val="right"/>
              <w:cnfStyle w:val="100000000000" w:firstRow="1" w:lastRow="0" w:firstColumn="0" w:lastColumn="0" w:oddVBand="0" w:evenVBand="0" w:oddHBand="0" w:evenHBand="0" w:firstRowFirstColumn="0" w:firstRowLastColumn="0" w:lastRowFirstColumn="0" w:lastRowLastColumn="0"/>
              <w:rPr>
                <w:i w:val="0"/>
              </w:rPr>
            </w:pPr>
            <w:r w:rsidRPr="008B39C0">
              <w:rPr>
                <w:i w:val="0"/>
                <w:color w:val="FFFFFF"/>
              </w:rPr>
              <w:t>Број оболелих</w:t>
            </w:r>
          </w:p>
        </w:tc>
        <w:tc>
          <w:tcPr>
            <w:tcW w:w="2048" w:type="dxa"/>
          </w:tcPr>
          <w:p w:rsidR="00FE5039" w:rsidRPr="008B39C0" w:rsidRDefault="00FE5039" w:rsidP="00B03CC0">
            <w:pPr>
              <w:spacing w:line="259" w:lineRule="auto"/>
              <w:jc w:val="right"/>
              <w:cnfStyle w:val="100000000000" w:firstRow="1" w:lastRow="0" w:firstColumn="0" w:lastColumn="0" w:oddVBand="0" w:evenVBand="0" w:oddHBand="0" w:evenHBand="0" w:firstRowFirstColumn="0" w:firstRowLastColumn="0" w:lastRowFirstColumn="0" w:lastRowLastColumn="0"/>
              <w:rPr>
                <w:i w:val="0"/>
                <w:color w:val="FFFFFF"/>
              </w:rPr>
            </w:pPr>
            <w:r w:rsidRPr="008B39C0">
              <w:rPr>
                <w:i w:val="0"/>
                <w:color w:val="FFFFFF"/>
              </w:rPr>
              <w:t>Број хоспитализованих</w:t>
            </w:r>
          </w:p>
        </w:tc>
      </w:tr>
      <w:tr w:rsidR="00FE5039" w:rsidRPr="00AC0127" w:rsidTr="00B03CC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548" w:type="dxa"/>
            <w:tcBorders>
              <w:top w:val="nil"/>
              <w:left w:val="nil"/>
              <w:bottom w:val="nil"/>
              <w:right w:val="single" w:sz="8" w:space="0" w:color="7F7F7F"/>
            </w:tcBorders>
            <w:shd w:val="clear" w:color="000000" w:fill="FFFFFF"/>
          </w:tcPr>
          <w:p w:rsidR="00FE5039" w:rsidRPr="0043789C" w:rsidRDefault="00FE5039" w:rsidP="00B03CC0">
            <w:pPr>
              <w:jc w:val="right"/>
              <w:rPr>
                <w:rFonts w:ascii="Century Gothic" w:hAnsi="Century Gothic"/>
                <w:i w:val="0"/>
                <w:color w:val="000000"/>
                <w:szCs w:val="20"/>
              </w:rPr>
            </w:pPr>
            <w:r>
              <w:rPr>
                <w:rFonts w:ascii="Century Gothic" w:hAnsi="Century Gothic"/>
                <w:i w:val="0"/>
                <w:color w:val="000000"/>
                <w:szCs w:val="20"/>
              </w:rPr>
              <w:t>2008</w:t>
            </w:r>
            <w:r w:rsidRPr="0043789C">
              <w:rPr>
                <w:rFonts w:ascii="Century Gothic" w:hAnsi="Century Gothic"/>
                <w:i w:val="0"/>
                <w:color w:val="000000"/>
                <w:szCs w:val="20"/>
              </w:rPr>
              <w:t xml:space="preserve"> </w:t>
            </w:r>
          </w:p>
        </w:tc>
        <w:tc>
          <w:tcPr>
            <w:tcW w:w="1618" w:type="dxa"/>
            <w:tcBorders>
              <w:top w:val="nil"/>
              <w:left w:val="nil"/>
              <w:bottom w:val="nil"/>
              <w:right w:val="nil"/>
            </w:tcBorders>
            <w:shd w:val="clear" w:color="000000" w:fill="F2F2F2"/>
          </w:tcPr>
          <w:p w:rsidR="00FE5039" w:rsidRPr="0043789C"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7</w:t>
            </w:r>
          </w:p>
        </w:tc>
        <w:tc>
          <w:tcPr>
            <w:tcW w:w="1587" w:type="dxa"/>
            <w:tcBorders>
              <w:top w:val="nil"/>
              <w:left w:val="nil"/>
              <w:bottom w:val="nil"/>
              <w:right w:val="nil"/>
            </w:tcBorders>
            <w:shd w:val="clear" w:color="auto" w:fill="auto"/>
          </w:tcPr>
          <w:p w:rsidR="00FE5039" w:rsidRPr="0043789C"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105</w:t>
            </w:r>
          </w:p>
        </w:tc>
        <w:tc>
          <w:tcPr>
            <w:tcW w:w="2048" w:type="dxa"/>
            <w:tcBorders>
              <w:top w:val="nil"/>
              <w:left w:val="nil"/>
              <w:bottom w:val="nil"/>
              <w:right w:val="nil"/>
            </w:tcBorders>
            <w:shd w:val="clear" w:color="auto" w:fill="auto"/>
          </w:tcPr>
          <w:p w:rsidR="00FE5039" w:rsidRPr="0043789C"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s="Times New Roman"/>
                <w:color w:val="000000"/>
                <w:szCs w:val="20"/>
              </w:rPr>
            </w:pPr>
            <w:r w:rsidRPr="0043789C">
              <w:rPr>
                <w:rFonts w:ascii="Century Gothic" w:hAnsi="Century Gothic"/>
                <w:color w:val="000000"/>
                <w:szCs w:val="20"/>
              </w:rPr>
              <w:t>9</w:t>
            </w:r>
          </w:p>
        </w:tc>
      </w:tr>
      <w:tr w:rsidR="00FE5039" w:rsidRPr="00AC0127"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548" w:type="dxa"/>
            <w:tcBorders>
              <w:top w:val="nil"/>
              <w:left w:val="nil"/>
              <w:bottom w:val="nil"/>
              <w:right w:val="single" w:sz="8" w:space="0" w:color="7F7F7F"/>
            </w:tcBorders>
            <w:shd w:val="clear" w:color="000000" w:fill="FFFFFF"/>
          </w:tcPr>
          <w:p w:rsidR="00FE5039" w:rsidRPr="0043789C" w:rsidRDefault="00FE5039" w:rsidP="00B03CC0">
            <w:pPr>
              <w:jc w:val="right"/>
              <w:rPr>
                <w:rFonts w:ascii="Century Gothic" w:hAnsi="Century Gothic"/>
                <w:i w:val="0"/>
                <w:color w:val="000000"/>
                <w:szCs w:val="20"/>
              </w:rPr>
            </w:pPr>
            <w:r>
              <w:rPr>
                <w:rFonts w:ascii="Century Gothic" w:hAnsi="Century Gothic"/>
                <w:i w:val="0"/>
                <w:color w:val="000000"/>
                <w:szCs w:val="20"/>
              </w:rPr>
              <w:t>2009</w:t>
            </w:r>
            <w:r w:rsidRPr="0043789C">
              <w:rPr>
                <w:rFonts w:ascii="Century Gothic" w:hAnsi="Century Gothic"/>
                <w:i w:val="0"/>
                <w:color w:val="000000"/>
                <w:szCs w:val="20"/>
              </w:rPr>
              <w:t xml:space="preserve"> </w:t>
            </w:r>
          </w:p>
        </w:tc>
        <w:tc>
          <w:tcPr>
            <w:tcW w:w="1618" w:type="dxa"/>
            <w:tcBorders>
              <w:top w:val="nil"/>
              <w:left w:val="nil"/>
              <w:bottom w:val="nil"/>
              <w:right w:val="nil"/>
            </w:tcBorders>
            <w:shd w:val="clear" w:color="000000" w:fill="F2F2F2"/>
          </w:tcPr>
          <w:p w:rsidR="00FE5039" w:rsidRPr="0043789C"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9</w:t>
            </w:r>
          </w:p>
        </w:tc>
        <w:tc>
          <w:tcPr>
            <w:tcW w:w="1587" w:type="dxa"/>
            <w:tcBorders>
              <w:top w:val="nil"/>
              <w:left w:val="nil"/>
              <w:bottom w:val="nil"/>
              <w:right w:val="nil"/>
            </w:tcBorders>
            <w:shd w:val="clear" w:color="000000" w:fill="F2F2F2"/>
          </w:tcPr>
          <w:p w:rsidR="00FE5039" w:rsidRPr="0043789C"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886</w:t>
            </w:r>
          </w:p>
        </w:tc>
        <w:tc>
          <w:tcPr>
            <w:tcW w:w="2048" w:type="dxa"/>
            <w:tcBorders>
              <w:top w:val="nil"/>
              <w:left w:val="nil"/>
              <w:bottom w:val="nil"/>
              <w:right w:val="nil"/>
            </w:tcBorders>
            <w:shd w:val="clear" w:color="000000" w:fill="F2F2F2"/>
          </w:tcPr>
          <w:p w:rsidR="00FE5039" w:rsidRPr="0043789C"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s="Times New Roman"/>
                <w:color w:val="000000"/>
                <w:szCs w:val="20"/>
              </w:rPr>
            </w:pPr>
            <w:r w:rsidRPr="0043789C">
              <w:rPr>
                <w:rFonts w:ascii="Century Gothic" w:hAnsi="Century Gothic"/>
                <w:color w:val="000000"/>
                <w:szCs w:val="20"/>
              </w:rPr>
              <w:t>40</w:t>
            </w:r>
          </w:p>
        </w:tc>
      </w:tr>
      <w:tr w:rsidR="00FE5039" w:rsidRPr="00AC0127" w:rsidTr="00B03CC0">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548" w:type="dxa"/>
            <w:tcBorders>
              <w:top w:val="nil"/>
              <w:left w:val="nil"/>
              <w:bottom w:val="nil"/>
              <w:right w:val="single" w:sz="8" w:space="0" w:color="7F7F7F"/>
            </w:tcBorders>
            <w:shd w:val="clear" w:color="000000" w:fill="FFFFFF"/>
          </w:tcPr>
          <w:p w:rsidR="00FE5039" w:rsidRPr="0043789C" w:rsidRDefault="00FE5039" w:rsidP="00B03CC0">
            <w:pPr>
              <w:jc w:val="right"/>
              <w:rPr>
                <w:rFonts w:ascii="Century Gothic" w:hAnsi="Century Gothic"/>
                <w:i w:val="0"/>
                <w:color w:val="000000"/>
                <w:szCs w:val="20"/>
              </w:rPr>
            </w:pPr>
            <w:r>
              <w:rPr>
                <w:rFonts w:ascii="Century Gothic" w:hAnsi="Century Gothic"/>
                <w:i w:val="0"/>
                <w:color w:val="000000"/>
                <w:szCs w:val="20"/>
              </w:rPr>
              <w:t>2010</w:t>
            </w:r>
            <w:r w:rsidRPr="0043789C">
              <w:rPr>
                <w:rFonts w:ascii="Century Gothic" w:hAnsi="Century Gothic"/>
                <w:i w:val="0"/>
                <w:color w:val="000000"/>
                <w:szCs w:val="20"/>
              </w:rPr>
              <w:t xml:space="preserve"> </w:t>
            </w:r>
          </w:p>
        </w:tc>
        <w:tc>
          <w:tcPr>
            <w:tcW w:w="1618" w:type="dxa"/>
            <w:tcBorders>
              <w:top w:val="nil"/>
              <w:left w:val="nil"/>
              <w:bottom w:val="nil"/>
              <w:right w:val="nil"/>
            </w:tcBorders>
            <w:shd w:val="clear" w:color="000000" w:fill="F2F2F2"/>
          </w:tcPr>
          <w:p w:rsidR="00FE5039" w:rsidRPr="0043789C"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4</w:t>
            </w:r>
          </w:p>
        </w:tc>
        <w:tc>
          <w:tcPr>
            <w:tcW w:w="1587" w:type="dxa"/>
            <w:tcBorders>
              <w:top w:val="nil"/>
              <w:left w:val="nil"/>
              <w:bottom w:val="nil"/>
              <w:right w:val="nil"/>
            </w:tcBorders>
            <w:shd w:val="clear" w:color="auto" w:fill="auto"/>
          </w:tcPr>
          <w:p w:rsidR="00FE5039" w:rsidRPr="0043789C"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26</w:t>
            </w:r>
          </w:p>
        </w:tc>
        <w:tc>
          <w:tcPr>
            <w:tcW w:w="2048" w:type="dxa"/>
            <w:tcBorders>
              <w:top w:val="nil"/>
              <w:left w:val="nil"/>
              <w:bottom w:val="nil"/>
              <w:right w:val="nil"/>
            </w:tcBorders>
            <w:shd w:val="clear" w:color="auto" w:fill="auto"/>
          </w:tcPr>
          <w:p w:rsidR="00FE5039" w:rsidRPr="0043789C"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s="Times New Roman"/>
                <w:color w:val="000000"/>
                <w:szCs w:val="20"/>
              </w:rPr>
            </w:pPr>
            <w:r w:rsidRPr="0043789C">
              <w:rPr>
                <w:rFonts w:ascii="Century Gothic" w:hAnsi="Century Gothic"/>
                <w:color w:val="000000"/>
                <w:szCs w:val="20"/>
              </w:rPr>
              <w:t>6</w:t>
            </w:r>
          </w:p>
        </w:tc>
      </w:tr>
      <w:tr w:rsidR="00FE5039" w:rsidRPr="00AC0127"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548" w:type="dxa"/>
            <w:tcBorders>
              <w:top w:val="nil"/>
              <w:left w:val="nil"/>
              <w:bottom w:val="nil"/>
              <w:right w:val="single" w:sz="8" w:space="0" w:color="7F7F7F"/>
            </w:tcBorders>
            <w:shd w:val="clear" w:color="000000" w:fill="FFFFFF"/>
          </w:tcPr>
          <w:p w:rsidR="00FE5039" w:rsidRPr="0043789C" w:rsidRDefault="00FE5039" w:rsidP="00B03CC0">
            <w:pPr>
              <w:jc w:val="right"/>
              <w:rPr>
                <w:rFonts w:ascii="Century Gothic" w:hAnsi="Century Gothic"/>
                <w:i w:val="0"/>
                <w:color w:val="000000"/>
                <w:szCs w:val="20"/>
              </w:rPr>
            </w:pPr>
            <w:r>
              <w:rPr>
                <w:rFonts w:ascii="Century Gothic" w:hAnsi="Century Gothic"/>
                <w:i w:val="0"/>
                <w:color w:val="000000"/>
                <w:szCs w:val="20"/>
              </w:rPr>
              <w:t>2011</w:t>
            </w:r>
            <w:r w:rsidRPr="0043789C">
              <w:rPr>
                <w:rFonts w:ascii="Century Gothic" w:hAnsi="Century Gothic"/>
                <w:i w:val="0"/>
                <w:color w:val="000000"/>
                <w:szCs w:val="20"/>
              </w:rPr>
              <w:t xml:space="preserve"> </w:t>
            </w:r>
          </w:p>
        </w:tc>
        <w:tc>
          <w:tcPr>
            <w:tcW w:w="1618" w:type="dxa"/>
            <w:tcBorders>
              <w:top w:val="nil"/>
              <w:left w:val="nil"/>
              <w:bottom w:val="nil"/>
              <w:right w:val="nil"/>
            </w:tcBorders>
            <w:shd w:val="clear" w:color="000000" w:fill="F2F2F2"/>
          </w:tcPr>
          <w:p w:rsidR="00FE5039" w:rsidRPr="0043789C"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6</w:t>
            </w:r>
          </w:p>
        </w:tc>
        <w:tc>
          <w:tcPr>
            <w:tcW w:w="1587" w:type="dxa"/>
            <w:tcBorders>
              <w:top w:val="nil"/>
              <w:left w:val="nil"/>
              <w:bottom w:val="nil"/>
              <w:right w:val="nil"/>
            </w:tcBorders>
            <w:shd w:val="clear" w:color="000000" w:fill="F2F2F2"/>
          </w:tcPr>
          <w:p w:rsidR="00FE5039" w:rsidRPr="0043789C"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167</w:t>
            </w:r>
          </w:p>
        </w:tc>
        <w:tc>
          <w:tcPr>
            <w:tcW w:w="2048" w:type="dxa"/>
            <w:tcBorders>
              <w:top w:val="nil"/>
              <w:left w:val="nil"/>
              <w:bottom w:val="nil"/>
              <w:right w:val="nil"/>
            </w:tcBorders>
            <w:shd w:val="clear" w:color="000000" w:fill="F2F2F2"/>
          </w:tcPr>
          <w:p w:rsidR="00FE5039" w:rsidRPr="0043789C"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s="Times New Roman"/>
                <w:color w:val="000000"/>
                <w:szCs w:val="20"/>
              </w:rPr>
            </w:pPr>
            <w:r w:rsidRPr="0043789C">
              <w:rPr>
                <w:rFonts w:ascii="Century Gothic" w:hAnsi="Century Gothic"/>
                <w:color w:val="000000"/>
                <w:szCs w:val="20"/>
              </w:rPr>
              <w:t>1</w:t>
            </w:r>
          </w:p>
        </w:tc>
      </w:tr>
      <w:tr w:rsidR="00FE5039" w:rsidRPr="00AC0127" w:rsidTr="00B03CC0">
        <w:trPr>
          <w:cnfStyle w:val="000000100000" w:firstRow="0" w:lastRow="0" w:firstColumn="0" w:lastColumn="0" w:oddVBand="0" w:evenVBand="0" w:oddHBand="1" w:evenHBand="0" w:firstRowFirstColumn="0" w:firstRowLastColumn="0" w:lastRowFirstColumn="0" w:lastRowLastColumn="0"/>
          <w:trHeight w:val="252"/>
          <w:jc w:val="center"/>
        </w:trPr>
        <w:tc>
          <w:tcPr>
            <w:cnfStyle w:val="001000000000" w:firstRow="0" w:lastRow="0" w:firstColumn="1" w:lastColumn="0" w:oddVBand="0" w:evenVBand="0" w:oddHBand="0" w:evenHBand="0" w:firstRowFirstColumn="0" w:firstRowLastColumn="0" w:lastRowFirstColumn="0" w:lastRowLastColumn="0"/>
            <w:tcW w:w="1548" w:type="dxa"/>
            <w:tcBorders>
              <w:top w:val="nil"/>
              <w:left w:val="nil"/>
              <w:bottom w:val="nil"/>
              <w:right w:val="single" w:sz="8" w:space="0" w:color="7F7F7F"/>
            </w:tcBorders>
            <w:shd w:val="clear" w:color="000000" w:fill="FFFFFF"/>
          </w:tcPr>
          <w:p w:rsidR="00FE5039" w:rsidRPr="0043789C" w:rsidRDefault="00FE5039" w:rsidP="00B03CC0">
            <w:pPr>
              <w:jc w:val="right"/>
              <w:rPr>
                <w:rFonts w:ascii="Century Gothic" w:hAnsi="Century Gothic"/>
                <w:i w:val="0"/>
                <w:color w:val="000000"/>
                <w:szCs w:val="20"/>
              </w:rPr>
            </w:pPr>
            <w:r>
              <w:rPr>
                <w:rFonts w:ascii="Century Gothic" w:hAnsi="Century Gothic"/>
                <w:i w:val="0"/>
                <w:color w:val="000000"/>
                <w:szCs w:val="20"/>
              </w:rPr>
              <w:t>2012</w:t>
            </w:r>
            <w:r w:rsidRPr="0043789C">
              <w:rPr>
                <w:rFonts w:ascii="Century Gothic" w:hAnsi="Century Gothic"/>
                <w:i w:val="0"/>
                <w:color w:val="000000"/>
                <w:szCs w:val="20"/>
              </w:rPr>
              <w:t xml:space="preserve"> </w:t>
            </w:r>
          </w:p>
        </w:tc>
        <w:tc>
          <w:tcPr>
            <w:tcW w:w="1618" w:type="dxa"/>
            <w:tcBorders>
              <w:top w:val="nil"/>
              <w:left w:val="nil"/>
              <w:bottom w:val="nil"/>
              <w:right w:val="nil"/>
            </w:tcBorders>
            <w:shd w:val="clear" w:color="000000" w:fill="F2F2F2"/>
          </w:tcPr>
          <w:p w:rsidR="00FE5039" w:rsidRPr="0043789C"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8</w:t>
            </w:r>
          </w:p>
        </w:tc>
        <w:tc>
          <w:tcPr>
            <w:tcW w:w="1587" w:type="dxa"/>
            <w:tcBorders>
              <w:top w:val="nil"/>
              <w:left w:val="nil"/>
              <w:bottom w:val="nil"/>
              <w:right w:val="nil"/>
            </w:tcBorders>
            <w:shd w:val="clear" w:color="auto" w:fill="auto"/>
          </w:tcPr>
          <w:p w:rsidR="00FE5039" w:rsidRPr="0043789C"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731</w:t>
            </w:r>
          </w:p>
        </w:tc>
        <w:tc>
          <w:tcPr>
            <w:tcW w:w="2048" w:type="dxa"/>
            <w:tcBorders>
              <w:top w:val="nil"/>
              <w:left w:val="nil"/>
              <w:bottom w:val="nil"/>
              <w:right w:val="nil"/>
            </w:tcBorders>
            <w:shd w:val="clear" w:color="auto" w:fill="auto"/>
          </w:tcPr>
          <w:p w:rsidR="00FE5039" w:rsidRPr="0043789C"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s="Times New Roman"/>
                <w:color w:val="000000"/>
                <w:szCs w:val="20"/>
              </w:rPr>
            </w:pPr>
            <w:r w:rsidRPr="0043789C">
              <w:rPr>
                <w:rFonts w:ascii="Century Gothic" w:hAnsi="Century Gothic"/>
                <w:color w:val="000000"/>
                <w:szCs w:val="20"/>
              </w:rPr>
              <w:t>32</w:t>
            </w:r>
          </w:p>
        </w:tc>
      </w:tr>
      <w:tr w:rsidR="00FE5039" w:rsidRPr="00AC0127"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548" w:type="dxa"/>
            <w:tcBorders>
              <w:top w:val="nil"/>
              <w:left w:val="nil"/>
              <w:bottom w:val="nil"/>
              <w:right w:val="single" w:sz="8" w:space="0" w:color="7F7F7F"/>
            </w:tcBorders>
            <w:shd w:val="clear" w:color="000000" w:fill="FFFFFF"/>
          </w:tcPr>
          <w:p w:rsidR="00FE5039" w:rsidRPr="0043789C" w:rsidRDefault="00FE5039" w:rsidP="00B03CC0">
            <w:pPr>
              <w:jc w:val="right"/>
              <w:rPr>
                <w:rFonts w:ascii="Century Gothic" w:hAnsi="Century Gothic"/>
                <w:i w:val="0"/>
                <w:color w:val="000000"/>
                <w:szCs w:val="20"/>
              </w:rPr>
            </w:pPr>
            <w:r w:rsidRPr="0043789C">
              <w:rPr>
                <w:rFonts w:ascii="Century Gothic" w:hAnsi="Century Gothic"/>
                <w:i w:val="0"/>
                <w:color w:val="000000"/>
                <w:szCs w:val="20"/>
              </w:rPr>
              <w:t>2013</w:t>
            </w:r>
          </w:p>
        </w:tc>
        <w:tc>
          <w:tcPr>
            <w:tcW w:w="1618" w:type="dxa"/>
            <w:tcBorders>
              <w:top w:val="nil"/>
              <w:left w:val="nil"/>
              <w:bottom w:val="nil"/>
              <w:right w:val="nil"/>
            </w:tcBorders>
            <w:shd w:val="clear" w:color="000000" w:fill="F2F2F2"/>
          </w:tcPr>
          <w:p w:rsidR="00FE5039" w:rsidRPr="0043789C"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8</w:t>
            </w:r>
          </w:p>
        </w:tc>
        <w:tc>
          <w:tcPr>
            <w:tcW w:w="1587" w:type="dxa"/>
            <w:tcBorders>
              <w:top w:val="nil"/>
              <w:left w:val="nil"/>
              <w:bottom w:val="nil"/>
              <w:right w:val="nil"/>
            </w:tcBorders>
            <w:shd w:val="clear" w:color="000000" w:fill="F2F2F2"/>
          </w:tcPr>
          <w:p w:rsidR="00FE5039" w:rsidRPr="0043789C"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77</w:t>
            </w:r>
          </w:p>
        </w:tc>
        <w:tc>
          <w:tcPr>
            <w:tcW w:w="2048" w:type="dxa"/>
            <w:tcBorders>
              <w:top w:val="nil"/>
              <w:left w:val="nil"/>
              <w:bottom w:val="nil"/>
              <w:right w:val="nil"/>
            </w:tcBorders>
            <w:shd w:val="clear" w:color="000000" w:fill="F2F2F2"/>
          </w:tcPr>
          <w:p w:rsidR="00FE5039" w:rsidRPr="0043789C"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s="Times New Roman"/>
                <w:color w:val="000000"/>
                <w:szCs w:val="20"/>
              </w:rPr>
            </w:pPr>
            <w:r w:rsidRPr="0043789C">
              <w:rPr>
                <w:rFonts w:ascii="Century Gothic" w:hAnsi="Century Gothic"/>
                <w:color w:val="000000"/>
                <w:szCs w:val="20"/>
              </w:rPr>
              <w:t>25</w:t>
            </w:r>
          </w:p>
        </w:tc>
      </w:tr>
      <w:tr w:rsidR="00FE5039" w:rsidRPr="00AC0127" w:rsidTr="00B03CC0">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548" w:type="dxa"/>
            <w:tcBorders>
              <w:top w:val="nil"/>
              <w:left w:val="nil"/>
              <w:bottom w:val="nil"/>
              <w:right w:val="single" w:sz="8" w:space="0" w:color="7F7F7F"/>
            </w:tcBorders>
            <w:shd w:val="clear" w:color="000000" w:fill="FFFFFF"/>
          </w:tcPr>
          <w:p w:rsidR="00FE5039" w:rsidRPr="0043789C" w:rsidRDefault="00FE5039" w:rsidP="00B03CC0">
            <w:pPr>
              <w:jc w:val="right"/>
              <w:rPr>
                <w:rFonts w:ascii="Century Gothic" w:hAnsi="Century Gothic"/>
                <w:i w:val="0"/>
                <w:color w:val="000000"/>
                <w:szCs w:val="20"/>
              </w:rPr>
            </w:pPr>
            <w:r w:rsidRPr="0043789C">
              <w:rPr>
                <w:rFonts w:ascii="Century Gothic" w:hAnsi="Century Gothic"/>
                <w:i w:val="0"/>
                <w:color w:val="000000"/>
                <w:szCs w:val="20"/>
              </w:rPr>
              <w:t>2014</w:t>
            </w:r>
          </w:p>
        </w:tc>
        <w:tc>
          <w:tcPr>
            <w:tcW w:w="1618" w:type="dxa"/>
            <w:tcBorders>
              <w:top w:val="nil"/>
              <w:left w:val="nil"/>
              <w:bottom w:val="nil"/>
              <w:right w:val="nil"/>
            </w:tcBorders>
            <w:shd w:val="clear" w:color="000000" w:fill="F2F2F2"/>
          </w:tcPr>
          <w:p w:rsidR="00FE5039" w:rsidRPr="0043789C"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16</w:t>
            </w:r>
          </w:p>
        </w:tc>
        <w:tc>
          <w:tcPr>
            <w:tcW w:w="1587" w:type="dxa"/>
            <w:tcBorders>
              <w:top w:val="nil"/>
              <w:left w:val="nil"/>
              <w:bottom w:val="nil"/>
              <w:right w:val="nil"/>
            </w:tcBorders>
            <w:shd w:val="clear" w:color="auto" w:fill="auto"/>
          </w:tcPr>
          <w:p w:rsidR="00FE5039" w:rsidRPr="0043789C"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91</w:t>
            </w:r>
          </w:p>
        </w:tc>
        <w:tc>
          <w:tcPr>
            <w:tcW w:w="2048" w:type="dxa"/>
            <w:tcBorders>
              <w:top w:val="nil"/>
              <w:left w:val="nil"/>
              <w:bottom w:val="nil"/>
              <w:right w:val="nil"/>
            </w:tcBorders>
            <w:shd w:val="clear" w:color="auto" w:fill="auto"/>
          </w:tcPr>
          <w:p w:rsidR="00FE5039" w:rsidRPr="0043789C"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s="Times New Roman"/>
                <w:color w:val="000000"/>
                <w:szCs w:val="20"/>
              </w:rPr>
            </w:pPr>
            <w:r w:rsidRPr="0043789C">
              <w:rPr>
                <w:rFonts w:ascii="Century Gothic" w:hAnsi="Century Gothic"/>
                <w:color w:val="000000"/>
                <w:szCs w:val="20"/>
              </w:rPr>
              <w:t>11</w:t>
            </w:r>
          </w:p>
        </w:tc>
      </w:tr>
      <w:tr w:rsidR="00FE5039" w:rsidRPr="00AC0127"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548" w:type="dxa"/>
            <w:tcBorders>
              <w:top w:val="nil"/>
              <w:left w:val="nil"/>
              <w:bottom w:val="nil"/>
              <w:right w:val="single" w:sz="8" w:space="0" w:color="7F7F7F"/>
            </w:tcBorders>
            <w:shd w:val="clear" w:color="000000" w:fill="FFFFFF"/>
          </w:tcPr>
          <w:p w:rsidR="00FE5039" w:rsidRPr="0043789C" w:rsidRDefault="00FE5039" w:rsidP="00B03CC0">
            <w:pPr>
              <w:jc w:val="right"/>
              <w:rPr>
                <w:rFonts w:ascii="Century Gothic" w:hAnsi="Century Gothic"/>
                <w:i w:val="0"/>
                <w:color w:val="000000"/>
                <w:szCs w:val="20"/>
              </w:rPr>
            </w:pPr>
            <w:r w:rsidRPr="0043789C">
              <w:rPr>
                <w:rFonts w:ascii="Century Gothic" w:hAnsi="Century Gothic"/>
                <w:i w:val="0"/>
                <w:color w:val="000000"/>
                <w:szCs w:val="20"/>
              </w:rPr>
              <w:t>2015</w:t>
            </w:r>
          </w:p>
        </w:tc>
        <w:tc>
          <w:tcPr>
            <w:tcW w:w="1618" w:type="dxa"/>
            <w:tcBorders>
              <w:top w:val="nil"/>
              <w:left w:val="nil"/>
              <w:bottom w:val="nil"/>
              <w:right w:val="nil"/>
            </w:tcBorders>
            <w:shd w:val="clear" w:color="000000" w:fill="F2F2F2"/>
          </w:tcPr>
          <w:p w:rsidR="00FE5039" w:rsidRPr="0043789C"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9</w:t>
            </w:r>
          </w:p>
        </w:tc>
        <w:tc>
          <w:tcPr>
            <w:tcW w:w="1587" w:type="dxa"/>
            <w:tcBorders>
              <w:top w:val="nil"/>
              <w:left w:val="nil"/>
              <w:bottom w:val="nil"/>
              <w:right w:val="nil"/>
            </w:tcBorders>
            <w:shd w:val="clear" w:color="000000" w:fill="F2F2F2"/>
          </w:tcPr>
          <w:p w:rsidR="00FE5039" w:rsidRPr="0043789C"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126</w:t>
            </w:r>
          </w:p>
        </w:tc>
        <w:tc>
          <w:tcPr>
            <w:tcW w:w="2048" w:type="dxa"/>
            <w:tcBorders>
              <w:top w:val="nil"/>
              <w:left w:val="nil"/>
              <w:bottom w:val="nil"/>
              <w:right w:val="nil"/>
            </w:tcBorders>
            <w:shd w:val="clear" w:color="000000" w:fill="F2F2F2"/>
          </w:tcPr>
          <w:p w:rsidR="00FE5039" w:rsidRPr="0043789C"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s="Times New Roman"/>
                <w:color w:val="000000"/>
                <w:szCs w:val="20"/>
              </w:rPr>
            </w:pPr>
            <w:r w:rsidRPr="0043789C">
              <w:rPr>
                <w:rFonts w:ascii="Century Gothic" w:hAnsi="Century Gothic"/>
                <w:color w:val="000000"/>
                <w:szCs w:val="20"/>
              </w:rPr>
              <w:t>33</w:t>
            </w:r>
          </w:p>
        </w:tc>
      </w:tr>
      <w:tr w:rsidR="00FE5039" w:rsidRPr="00AC0127" w:rsidTr="00B03CC0">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548" w:type="dxa"/>
            <w:tcBorders>
              <w:top w:val="nil"/>
              <w:left w:val="nil"/>
              <w:bottom w:val="nil"/>
              <w:right w:val="single" w:sz="8" w:space="0" w:color="7F7F7F"/>
            </w:tcBorders>
            <w:shd w:val="clear" w:color="000000" w:fill="FFFFFF"/>
          </w:tcPr>
          <w:p w:rsidR="00FE5039" w:rsidRPr="0043789C" w:rsidRDefault="00FE5039" w:rsidP="00B03CC0">
            <w:pPr>
              <w:jc w:val="right"/>
              <w:rPr>
                <w:rFonts w:ascii="Century Gothic" w:hAnsi="Century Gothic"/>
                <w:i w:val="0"/>
                <w:color w:val="000000"/>
                <w:szCs w:val="20"/>
              </w:rPr>
            </w:pPr>
            <w:r w:rsidRPr="0043789C">
              <w:rPr>
                <w:rFonts w:ascii="Century Gothic" w:hAnsi="Century Gothic"/>
                <w:i w:val="0"/>
                <w:color w:val="000000"/>
                <w:szCs w:val="20"/>
              </w:rPr>
              <w:t>2016</w:t>
            </w:r>
          </w:p>
        </w:tc>
        <w:tc>
          <w:tcPr>
            <w:tcW w:w="1618" w:type="dxa"/>
            <w:tcBorders>
              <w:top w:val="nil"/>
              <w:left w:val="nil"/>
              <w:bottom w:val="nil"/>
              <w:right w:val="nil"/>
            </w:tcBorders>
            <w:shd w:val="clear" w:color="000000" w:fill="F2F2F2"/>
          </w:tcPr>
          <w:p w:rsidR="00FE5039" w:rsidRPr="0043789C"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7</w:t>
            </w:r>
          </w:p>
        </w:tc>
        <w:tc>
          <w:tcPr>
            <w:tcW w:w="1587" w:type="dxa"/>
            <w:tcBorders>
              <w:top w:val="nil"/>
              <w:left w:val="nil"/>
              <w:bottom w:val="nil"/>
              <w:right w:val="nil"/>
            </w:tcBorders>
            <w:shd w:val="clear" w:color="auto" w:fill="auto"/>
          </w:tcPr>
          <w:p w:rsidR="00FE5039" w:rsidRPr="0043789C"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s="Arial"/>
                <w:color w:val="000000"/>
                <w:szCs w:val="20"/>
              </w:rPr>
            </w:pPr>
            <w:r w:rsidRPr="0043789C">
              <w:rPr>
                <w:rFonts w:ascii="Century Gothic" w:hAnsi="Century Gothic" w:cs="Arial"/>
                <w:color w:val="000000"/>
                <w:szCs w:val="20"/>
              </w:rPr>
              <w:t>37</w:t>
            </w:r>
          </w:p>
        </w:tc>
        <w:tc>
          <w:tcPr>
            <w:tcW w:w="2048" w:type="dxa"/>
            <w:tcBorders>
              <w:top w:val="nil"/>
              <w:left w:val="nil"/>
              <w:bottom w:val="nil"/>
              <w:right w:val="nil"/>
            </w:tcBorders>
            <w:shd w:val="clear" w:color="auto" w:fill="auto"/>
          </w:tcPr>
          <w:p w:rsidR="00FE5039" w:rsidRPr="0043789C"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s="Times New Roman"/>
                <w:color w:val="000000"/>
                <w:szCs w:val="20"/>
              </w:rPr>
            </w:pPr>
            <w:r w:rsidRPr="0043789C">
              <w:rPr>
                <w:rFonts w:ascii="Century Gothic" w:hAnsi="Century Gothic"/>
                <w:color w:val="000000"/>
                <w:szCs w:val="20"/>
              </w:rPr>
              <w:t>15</w:t>
            </w:r>
          </w:p>
        </w:tc>
      </w:tr>
      <w:tr w:rsidR="00FE5039" w:rsidRPr="00AC0127"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548" w:type="dxa"/>
            <w:tcBorders>
              <w:top w:val="nil"/>
              <w:left w:val="nil"/>
              <w:bottom w:val="nil"/>
              <w:right w:val="single" w:sz="8" w:space="0" w:color="7F7F7F"/>
            </w:tcBorders>
            <w:shd w:val="clear" w:color="000000" w:fill="FFFFFF"/>
          </w:tcPr>
          <w:p w:rsidR="00FE5039" w:rsidRPr="00AD391B" w:rsidRDefault="00FE5039" w:rsidP="00B03CC0">
            <w:pPr>
              <w:jc w:val="right"/>
              <w:rPr>
                <w:rFonts w:ascii="Century Gothic" w:hAnsi="Century Gothic"/>
                <w:color w:val="000000"/>
                <w:szCs w:val="20"/>
                <w:lang w:val="sr-Cyrl-RS"/>
              </w:rPr>
            </w:pPr>
            <w:r>
              <w:rPr>
                <w:rFonts w:ascii="Century Gothic" w:hAnsi="Century Gothic"/>
                <w:color w:val="000000"/>
                <w:szCs w:val="20"/>
                <w:lang w:val="sr-Cyrl-RS"/>
              </w:rPr>
              <w:t>2017</w:t>
            </w:r>
          </w:p>
        </w:tc>
        <w:tc>
          <w:tcPr>
            <w:tcW w:w="1618" w:type="dxa"/>
            <w:tcBorders>
              <w:top w:val="nil"/>
              <w:left w:val="nil"/>
              <w:bottom w:val="nil"/>
              <w:right w:val="nil"/>
            </w:tcBorders>
            <w:shd w:val="clear" w:color="000000" w:fill="F2F2F2"/>
          </w:tcPr>
          <w:p w:rsidR="00FE5039" w:rsidRPr="00D32A69"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lang w:val="sr-Cyrl-RS"/>
              </w:rPr>
            </w:pPr>
            <w:r>
              <w:rPr>
                <w:rFonts w:ascii="Century Gothic" w:hAnsi="Century Gothic" w:cs="Arial"/>
                <w:color w:val="000000"/>
                <w:szCs w:val="20"/>
                <w:lang w:val="sr-Cyrl-RS"/>
              </w:rPr>
              <w:t>8</w:t>
            </w:r>
          </w:p>
        </w:tc>
        <w:tc>
          <w:tcPr>
            <w:tcW w:w="1587" w:type="dxa"/>
            <w:tcBorders>
              <w:top w:val="nil"/>
              <w:left w:val="nil"/>
              <w:bottom w:val="nil"/>
              <w:right w:val="nil"/>
            </w:tcBorders>
            <w:shd w:val="clear" w:color="auto" w:fill="auto"/>
          </w:tcPr>
          <w:p w:rsidR="00FE5039" w:rsidRPr="00D32A69"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s="Arial"/>
                <w:color w:val="000000"/>
                <w:szCs w:val="20"/>
                <w:lang w:val="sr-Cyrl-RS"/>
              </w:rPr>
            </w:pPr>
            <w:r>
              <w:rPr>
                <w:rFonts w:ascii="Century Gothic" w:hAnsi="Century Gothic" w:cs="Arial"/>
                <w:color w:val="000000"/>
                <w:szCs w:val="20"/>
                <w:lang w:val="sr-Cyrl-RS"/>
              </w:rPr>
              <w:t>567</w:t>
            </w:r>
          </w:p>
        </w:tc>
        <w:tc>
          <w:tcPr>
            <w:tcW w:w="2048" w:type="dxa"/>
            <w:tcBorders>
              <w:top w:val="nil"/>
              <w:left w:val="nil"/>
              <w:bottom w:val="nil"/>
              <w:right w:val="nil"/>
            </w:tcBorders>
            <w:shd w:val="clear" w:color="auto" w:fill="auto"/>
          </w:tcPr>
          <w:p w:rsidR="00FE5039" w:rsidRPr="00D32A69" w:rsidRDefault="00FE5039" w:rsidP="00B03CC0">
            <w:pPr>
              <w:jc w:val="right"/>
              <w:cnfStyle w:val="000000010000" w:firstRow="0" w:lastRow="0" w:firstColumn="0" w:lastColumn="0" w:oddVBand="0" w:evenVBand="0" w:oddHBand="0" w:evenHBand="1" w:firstRowFirstColumn="0" w:firstRowLastColumn="0" w:lastRowFirstColumn="0" w:lastRowLastColumn="0"/>
              <w:rPr>
                <w:rFonts w:ascii="Century Gothic" w:hAnsi="Century Gothic"/>
                <w:color w:val="000000"/>
                <w:szCs w:val="20"/>
                <w:lang w:val="sr-Cyrl-RS"/>
              </w:rPr>
            </w:pPr>
            <w:r>
              <w:rPr>
                <w:rFonts w:ascii="Century Gothic" w:hAnsi="Century Gothic"/>
                <w:color w:val="000000"/>
                <w:szCs w:val="20"/>
                <w:lang w:val="sr-Cyrl-RS"/>
              </w:rPr>
              <w:t>9</w:t>
            </w:r>
          </w:p>
        </w:tc>
      </w:tr>
      <w:tr w:rsidR="00FE5039" w:rsidRPr="00AC0127" w:rsidTr="00B03CC0">
        <w:trPr>
          <w:cnfStyle w:val="000000100000" w:firstRow="0" w:lastRow="0" w:firstColumn="0" w:lastColumn="0" w:oddVBand="0" w:evenVBand="0" w:oddHBand="1" w:evenHBand="0" w:firstRowFirstColumn="0" w:firstRowLastColumn="0" w:lastRowFirstColumn="0" w:lastRowLastColumn="0"/>
          <w:trHeight w:val="377"/>
          <w:jc w:val="center"/>
        </w:trPr>
        <w:tc>
          <w:tcPr>
            <w:cnfStyle w:val="001000000000" w:firstRow="0" w:lastRow="0" w:firstColumn="1" w:lastColumn="0" w:oddVBand="0" w:evenVBand="0" w:oddHBand="0" w:evenHBand="0" w:firstRowFirstColumn="0" w:firstRowLastColumn="0" w:lastRowFirstColumn="0" w:lastRowLastColumn="0"/>
            <w:tcW w:w="1548" w:type="dxa"/>
            <w:tcBorders>
              <w:top w:val="nil"/>
              <w:left w:val="nil"/>
              <w:bottom w:val="nil"/>
              <w:right w:val="single" w:sz="8" w:space="0" w:color="7F7F7F"/>
            </w:tcBorders>
            <w:shd w:val="clear" w:color="000000" w:fill="FFFFFF"/>
          </w:tcPr>
          <w:p w:rsidR="00FE5039" w:rsidRPr="0043789C" w:rsidRDefault="00FE5039" w:rsidP="00B03CC0">
            <w:pPr>
              <w:jc w:val="right"/>
              <w:rPr>
                <w:rFonts w:ascii="Century Gothic" w:hAnsi="Century Gothic"/>
                <w:b/>
                <w:bCs/>
                <w:i w:val="0"/>
                <w:color w:val="000000"/>
                <w:szCs w:val="20"/>
              </w:rPr>
            </w:pPr>
            <w:r w:rsidRPr="0043789C">
              <w:rPr>
                <w:rFonts w:ascii="Century Gothic" w:hAnsi="Century Gothic"/>
                <w:b/>
                <w:bCs/>
                <w:i w:val="0"/>
                <w:color w:val="000000"/>
                <w:szCs w:val="20"/>
              </w:rPr>
              <w:t xml:space="preserve">Укупно </w:t>
            </w:r>
          </w:p>
        </w:tc>
        <w:tc>
          <w:tcPr>
            <w:tcW w:w="1618" w:type="dxa"/>
            <w:tcBorders>
              <w:top w:val="nil"/>
              <w:left w:val="nil"/>
              <w:bottom w:val="nil"/>
              <w:right w:val="nil"/>
            </w:tcBorders>
            <w:shd w:val="clear" w:color="000000" w:fill="F2F2F2"/>
          </w:tcPr>
          <w:p w:rsidR="00FE5039" w:rsidRPr="00D32A69"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s="Arial"/>
                <w:b/>
                <w:color w:val="000000"/>
                <w:szCs w:val="20"/>
                <w:lang w:val="sr-Cyrl-RS"/>
              </w:rPr>
            </w:pPr>
            <w:r>
              <w:rPr>
                <w:rFonts w:ascii="Century Gothic" w:hAnsi="Century Gothic" w:cs="Arial"/>
                <w:b/>
                <w:color w:val="000000"/>
                <w:szCs w:val="20"/>
                <w:lang w:val="sr-Cyrl-RS"/>
              </w:rPr>
              <w:t>82</w:t>
            </w:r>
          </w:p>
        </w:tc>
        <w:tc>
          <w:tcPr>
            <w:tcW w:w="1587" w:type="dxa"/>
            <w:tcBorders>
              <w:top w:val="nil"/>
              <w:left w:val="nil"/>
              <w:bottom w:val="nil"/>
              <w:right w:val="nil"/>
            </w:tcBorders>
            <w:shd w:val="clear" w:color="000000" w:fill="F2F2F2"/>
          </w:tcPr>
          <w:p w:rsidR="00FE5039" w:rsidRPr="00D32A69"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s="Arial"/>
                <w:b/>
                <w:color w:val="000000"/>
                <w:szCs w:val="20"/>
                <w:lang w:val="sr-Cyrl-RS"/>
              </w:rPr>
            </w:pPr>
            <w:r>
              <w:rPr>
                <w:rFonts w:ascii="Century Gothic" w:hAnsi="Century Gothic" w:cs="Arial"/>
                <w:b/>
                <w:color w:val="000000"/>
                <w:szCs w:val="20"/>
                <w:lang w:val="sr-Cyrl-RS"/>
              </w:rPr>
              <w:t>2813</w:t>
            </w:r>
          </w:p>
        </w:tc>
        <w:tc>
          <w:tcPr>
            <w:tcW w:w="2048" w:type="dxa"/>
            <w:tcBorders>
              <w:top w:val="nil"/>
              <w:left w:val="nil"/>
              <w:bottom w:val="nil"/>
              <w:right w:val="nil"/>
            </w:tcBorders>
            <w:shd w:val="clear" w:color="000000" w:fill="F2F2F2"/>
          </w:tcPr>
          <w:p w:rsidR="00FE5039" w:rsidRPr="00D32A69" w:rsidRDefault="00FE5039" w:rsidP="00B03CC0">
            <w:pPr>
              <w:jc w:val="right"/>
              <w:cnfStyle w:val="000000100000" w:firstRow="0" w:lastRow="0" w:firstColumn="0" w:lastColumn="0" w:oddVBand="0" w:evenVBand="0" w:oddHBand="1" w:evenHBand="0" w:firstRowFirstColumn="0" w:firstRowLastColumn="0" w:lastRowFirstColumn="0" w:lastRowLastColumn="0"/>
              <w:rPr>
                <w:rFonts w:ascii="Century Gothic" w:hAnsi="Century Gothic" w:cs="Arial"/>
                <w:b/>
                <w:color w:val="000000"/>
                <w:szCs w:val="20"/>
                <w:lang w:val="sr-Cyrl-RS"/>
              </w:rPr>
            </w:pPr>
            <w:r>
              <w:rPr>
                <w:rFonts w:ascii="Century Gothic" w:hAnsi="Century Gothic" w:cs="Arial"/>
                <w:b/>
                <w:color w:val="000000"/>
                <w:szCs w:val="20"/>
                <w:lang w:val="sr-Cyrl-RS"/>
              </w:rPr>
              <w:t>181</w:t>
            </w:r>
          </w:p>
        </w:tc>
      </w:tr>
    </w:tbl>
    <w:p w:rsidR="00171B5D" w:rsidRDefault="00FE5039" w:rsidP="00016E48">
      <w:pPr>
        <w:spacing w:after="224" w:line="259" w:lineRule="auto"/>
        <w:ind w:right="-29"/>
        <w:jc w:val="left"/>
      </w:pPr>
      <w:r>
        <w:t xml:space="preserve"> </w:t>
      </w:r>
    </w:p>
    <w:p w:rsidR="008B5AEF" w:rsidRPr="008B5AEF" w:rsidRDefault="008B5AEF" w:rsidP="00B03CC0">
      <w:pPr>
        <w:rPr>
          <w:lang w:val="sr-Cyrl-RS"/>
        </w:rPr>
      </w:pPr>
      <w:r>
        <w:rPr>
          <w:lang w:val="sr-Cyrl-RS"/>
        </w:rPr>
        <w:t>У епидемијској форми</w:t>
      </w:r>
      <w:r w:rsidR="00016E48">
        <w:rPr>
          <w:lang w:val="sr-Cyrl-RS"/>
        </w:rPr>
        <w:t xml:space="preserve"> су</w:t>
      </w:r>
      <w:r>
        <w:rPr>
          <w:lang w:val="sr-Cyrl-RS"/>
        </w:rPr>
        <w:t xml:space="preserve"> се најшће регист</w:t>
      </w:r>
      <w:r w:rsidR="00016E48">
        <w:rPr>
          <w:lang w:val="sr-Cyrl-RS"/>
        </w:rPr>
        <w:t>ровале</w:t>
      </w:r>
      <w:r>
        <w:rPr>
          <w:lang w:val="sr-Cyrl-RS"/>
        </w:rPr>
        <w:t xml:space="preserve"> епидемије стрептококних инфекција, пертусиса,  кју грознице, паротитиса али и породичне епидемије туберкулозе.</w:t>
      </w:r>
    </w:p>
    <w:p w:rsidR="00171B5D" w:rsidRPr="009254FB" w:rsidRDefault="00171B5D" w:rsidP="00B03CC0">
      <w:pPr>
        <w:rPr>
          <w:b/>
          <w:sz w:val="22"/>
          <w:szCs w:val="22"/>
          <w:lang w:val="sr-Cyrl-RS"/>
        </w:rPr>
      </w:pPr>
      <w:r w:rsidRPr="009254FB">
        <w:rPr>
          <w:b/>
          <w:sz w:val="22"/>
          <w:szCs w:val="22"/>
          <w:lang w:val="sr-Cyrl-RS"/>
        </w:rPr>
        <w:t>Пертусис</w:t>
      </w:r>
    </w:p>
    <w:p w:rsidR="00FE5039" w:rsidRPr="00E630DF" w:rsidRDefault="00FE5039" w:rsidP="00B03CC0">
      <w:r>
        <w:lastRenderedPageBreak/>
        <w:t xml:space="preserve">Због инсуфуцијентности епидемиолошког надзора, </w:t>
      </w:r>
      <w:r w:rsidRPr="00E630DF">
        <w:t xml:space="preserve">пертусис </w:t>
      </w:r>
      <w:r>
        <w:t>ј</w:t>
      </w:r>
      <w:r w:rsidRPr="00E630DF">
        <w:t xml:space="preserve">е у </w:t>
      </w:r>
      <w:r>
        <w:t xml:space="preserve">АП </w:t>
      </w:r>
      <w:r w:rsidRPr="00E630DF">
        <w:t>Војводини регистрова</w:t>
      </w:r>
      <w:r>
        <w:t>н</w:t>
      </w:r>
      <w:r w:rsidRPr="00E630DF">
        <w:t xml:space="preserve"> дисконтинуирано, у облику појединачних случајева</w:t>
      </w:r>
      <w:r>
        <w:t xml:space="preserve"> и</w:t>
      </w:r>
      <w:r w:rsidRPr="00E630DF">
        <w:t xml:space="preserve"> без етиолошке потврде</w:t>
      </w:r>
      <w:r>
        <w:t xml:space="preserve"> дијагнозе</w:t>
      </w:r>
      <w:r w:rsidRPr="00E630DF">
        <w:t>.</w:t>
      </w:r>
      <w:r>
        <w:t xml:space="preserve"> </w:t>
      </w:r>
    </w:p>
    <w:p w:rsidR="00FE5039" w:rsidRPr="00275B8D" w:rsidRDefault="00FE5039" w:rsidP="00B03CC0">
      <w:r w:rsidRPr="00DA3202">
        <w:t xml:space="preserve">Од 2012. године </w:t>
      </w:r>
      <w:r>
        <w:t xml:space="preserve">ово обољење се континуирано региструје, а епидемиолошким надзором над експонираним особама, </w:t>
      </w:r>
      <w:r w:rsidRPr="00DA3202">
        <w:t>откривен</w:t>
      </w:r>
      <w:r>
        <w:t>о је 28</w:t>
      </w:r>
      <w:r>
        <w:rPr>
          <w:lang w:val="sr-Cyrl-RS"/>
        </w:rPr>
        <w:t xml:space="preserve"> </w:t>
      </w:r>
      <w:r>
        <w:t>епидемија</w:t>
      </w:r>
      <w:r w:rsidRPr="00DA3202">
        <w:t xml:space="preserve"> пертусиса у којима је оболело </w:t>
      </w:r>
      <w:r>
        <w:t>114 (15,4</w:t>
      </w:r>
      <w:r w:rsidRPr="00DA3202">
        <w:t>%) особа.</w:t>
      </w:r>
      <w:r>
        <w:t xml:space="preserve"> Учешће оболелих у епидемијама се креће од 3,8% (2017. г</w:t>
      </w:r>
      <w:r w:rsidR="00212B95">
        <w:t>одине) до 39,6% (2015. године),</w:t>
      </w:r>
      <w:r w:rsidRPr="00DA3202">
        <w:t xml:space="preserve">(табела </w:t>
      </w:r>
      <w:r w:rsidR="008B5AEF">
        <w:t>13</w:t>
      </w:r>
      <w:r w:rsidRPr="00DA3202">
        <w:t xml:space="preserve">). </w:t>
      </w:r>
    </w:p>
    <w:p w:rsidR="00FE5039" w:rsidRPr="00BF4AA9" w:rsidRDefault="008B5AEF" w:rsidP="00B03CC0">
      <w:pPr>
        <w:pStyle w:val="Caption"/>
        <w:spacing w:after="160"/>
      </w:pPr>
      <w:r>
        <w:t>Табела 13</w:t>
      </w:r>
      <w:r w:rsidR="00FE5039">
        <w:t>.</w:t>
      </w:r>
      <w:r w:rsidR="00FE5039" w:rsidRPr="00BF4AA9">
        <w:t xml:space="preserve"> Епидемије </w:t>
      </w:r>
      <w:r w:rsidR="00FE5039" w:rsidRPr="00407DC9">
        <w:t>Pertussisа</w:t>
      </w:r>
      <w:r w:rsidR="00FE5039">
        <w:t xml:space="preserve"> у АП Војводини у периоду од </w:t>
      </w:r>
      <w:r w:rsidR="00FE5039" w:rsidRPr="0011401D">
        <w:t>200</w:t>
      </w:r>
      <w:r w:rsidR="00FE5039">
        <w:t>8</w:t>
      </w:r>
      <w:r w:rsidR="00FE5039" w:rsidRPr="0011401D">
        <w:t xml:space="preserve">. </w:t>
      </w:r>
      <w:r w:rsidR="00FE5039">
        <w:t>до 2017</w:t>
      </w:r>
      <w:r w:rsidR="00FE5039" w:rsidRPr="0011401D">
        <w:t>. годин</w:t>
      </w:r>
      <w:r w:rsidR="00FE5039">
        <w:t>е</w:t>
      </w:r>
    </w:p>
    <w:tbl>
      <w:tblPr>
        <w:tblStyle w:val="PlainTable51"/>
        <w:tblW w:w="8647" w:type="dxa"/>
        <w:jc w:val="center"/>
        <w:tblLook w:val="04A0" w:firstRow="1" w:lastRow="0" w:firstColumn="1" w:lastColumn="0" w:noHBand="0" w:noVBand="1"/>
      </w:tblPr>
      <w:tblGrid>
        <w:gridCol w:w="1390"/>
        <w:gridCol w:w="1755"/>
        <w:gridCol w:w="1580"/>
        <w:gridCol w:w="1742"/>
        <w:gridCol w:w="2180"/>
      </w:tblGrid>
      <w:tr w:rsidR="00FE5039" w:rsidRPr="00774984" w:rsidTr="00B03CC0">
        <w:trPr>
          <w:cnfStyle w:val="100000000000" w:firstRow="1" w:lastRow="0" w:firstColumn="0" w:lastColumn="0" w:oddVBand="0" w:evenVBand="0" w:oddHBand="0" w:evenHBand="0" w:firstRowFirstColumn="0" w:firstRowLastColumn="0" w:lastRowFirstColumn="0" w:lastRowLastColumn="0"/>
          <w:trHeight w:val="758"/>
          <w:jc w:val="center"/>
        </w:trPr>
        <w:tc>
          <w:tcPr>
            <w:cnfStyle w:val="001000000100" w:firstRow="0" w:lastRow="0" w:firstColumn="1" w:lastColumn="0" w:oddVBand="0" w:evenVBand="0" w:oddHBand="0" w:evenHBand="0" w:firstRowFirstColumn="1" w:firstRowLastColumn="0" w:lastRowFirstColumn="0" w:lastRowLastColumn="0"/>
            <w:tcW w:w="1390" w:type="dxa"/>
          </w:tcPr>
          <w:p w:rsidR="00FE5039" w:rsidRPr="00774984" w:rsidRDefault="00FE5039" w:rsidP="002F1EC5">
            <w:pPr>
              <w:spacing w:line="259" w:lineRule="auto"/>
              <w:ind w:right="53"/>
              <w:jc w:val="right"/>
              <w:rPr>
                <w:i w:val="0"/>
              </w:rPr>
            </w:pPr>
            <w:r w:rsidRPr="00774984">
              <w:rPr>
                <w:i w:val="0"/>
                <w:color w:val="FFFFFF"/>
              </w:rPr>
              <w:t xml:space="preserve">Година </w:t>
            </w:r>
          </w:p>
        </w:tc>
        <w:tc>
          <w:tcPr>
            <w:tcW w:w="1755" w:type="dxa"/>
          </w:tcPr>
          <w:p w:rsidR="00FE5039" w:rsidRPr="00774984" w:rsidRDefault="00FE5039" w:rsidP="002F1EC5">
            <w:pPr>
              <w:spacing w:line="259" w:lineRule="auto"/>
              <w:jc w:val="right"/>
              <w:cnfStyle w:val="100000000000" w:firstRow="1" w:lastRow="0" w:firstColumn="0" w:lastColumn="0" w:oddVBand="0" w:evenVBand="0" w:oddHBand="0" w:evenHBand="0" w:firstRowFirstColumn="0" w:firstRowLastColumn="0" w:lastRowFirstColumn="0" w:lastRowLastColumn="0"/>
              <w:rPr>
                <w:i w:val="0"/>
              </w:rPr>
            </w:pPr>
            <w:r w:rsidRPr="00774984">
              <w:rPr>
                <w:i w:val="0"/>
                <w:color w:val="FFFFFF"/>
              </w:rPr>
              <w:t xml:space="preserve">Укупан број оболелих </w:t>
            </w:r>
          </w:p>
        </w:tc>
        <w:tc>
          <w:tcPr>
            <w:tcW w:w="1580" w:type="dxa"/>
          </w:tcPr>
          <w:p w:rsidR="00FE5039" w:rsidRPr="00774984" w:rsidRDefault="00FE5039" w:rsidP="002F1EC5">
            <w:pPr>
              <w:spacing w:line="259" w:lineRule="auto"/>
              <w:ind w:left="27" w:right="28"/>
              <w:jc w:val="right"/>
              <w:cnfStyle w:val="100000000000" w:firstRow="1" w:lastRow="0" w:firstColumn="0" w:lastColumn="0" w:oddVBand="0" w:evenVBand="0" w:oddHBand="0" w:evenHBand="0" w:firstRowFirstColumn="0" w:firstRowLastColumn="0" w:lastRowFirstColumn="0" w:lastRowLastColumn="0"/>
              <w:rPr>
                <w:i w:val="0"/>
              </w:rPr>
            </w:pPr>
            <w:r w:rsidRPr="00774984">
              <w:rPr>
                <w:i w:val="0"/>
                <w:color w:val="FFFFFF"/>
              </w:rPr>
              <w:t xml:space="preserve">Број епидемија </w:t>
            </w:r>
          </w:p>
        </w:tc>
        <w:tc>
          <w:tcPr>
            <w:tcW w:w="1742" w:type="dxa"/>
          </w:tcPr>
          <w:p w:rsidR="00FE5039" w:rsidRPr="00774984" w:rsidRDefault="00FE5039" w:rsidP="002F1EC5">
            <w:pPr>
              <w:spacing w:line="259" w:lineRule="auto"/>
              <w:jc w:val="right"/>
              <w:cnfStyle w:val="100000000000" w:firstRow="1" w:lastRow="0" w:firstColumn="0" w:lastColumn="0" w:oddVBand="0" w:evenVBand="0" w:oddHBand="0" w:evenHBand="0" w:firstRowFirstColumn="0" w:firstRowLastColumn="0" w:lastRowFirstColumn="0" w:lastRowLastColumn="0"/>
              <w:rPr>
                <w:i w:val="0"/>
              </w:rPr>
            </w:pPr>
            <w:r w:rsidRPr="00774984">
              <w:rPr>
                <w:i w:val="0"/>
                <w:color w:val="FFFFFF"/>
              </w:rPr>
              <w:t xml:space="preserve">Број оболелих у епидемијама </w:t>
            </w:r>
          </w:p>
        </w:tc>
        <w:tc>
          <w:tcPr>
            <w:tcW w:w="2180" w:type="dxa"/>
          </w:tcPr>
          <w:p w:rsidR="00FE5039" w:rsidRPr="00774984" w:rsidRDefault="00FE5039" w:rsidP="00B03CC0">
            <w:pPr>
              <w:spacing w:line="259" w:lineRule="auto"/>
              <w:jc w:val="right"/>
              <w:cnfStyle w:val="100000000000" w:firstRow="1" w:lastRow="0" w:firstColumn="0" w:lastColumn="0" w:oddVBand="0" w:evenVBand="0" w:oddHBand="0" w:evenHBand="0" w:firstRowFirstColumn="0" w:firstRowLastColumn="0" w:lastRowFirstColumn="0" w:lastRowLastColumn="0"/>
              <w:rPr>
                <w:i w:val="0"/>
              </w:rPr>
            </w:pPr>
            <w:r w:rsidRPr="00774984">
              <w:rPr>
                <w:i w:val="0"/>
                <w:color w:val="FFFFFF"/>
              </w:rPr>
              <w:t xml:space="preserve">Учешће оболелих у епидемијама (%) </w:t>
            </w:r>
          </w:p>
        </w:tc>
      </w:tr>
      <w:tr w:rsidR="00FE5039" w:rsidRPr="004679A6" w:rsidTr="00B03CC0">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390" w:type="dxa"/>
          </w:tcPr>
          <w:p w:rsidR="00FE5039" w:rsidRPr="004679A6" w:rsidRDefault="00FE5039" w:rsidP="00B03CC0">
            <w:pPr>
              <w:spacing w:line="259" w:lineRule="auto"/>
              <w:jc w:val="right"/>
              <w:rPr>
                <w:i w:val="0"/>
              </w:rPr>
            </w:pPr>
            <w:r>
              <w:rPr>
                <w:i w:val="0"/>
              </w:rPr>
              <w:t>2008</w:t>
            </w:r>
            <w:r w:rsidRPr="004679A6">
              <w:rPr>
                <w:i w:val="0"/>
              </w:rPr>
              <w:t xml:space="preserve"> </w:t>
            </w:r>
          </w:p>
        </w:tc>
        <w:tc>
          <w:tcPr>
            <w:tcW w:w="1755" w:type="dxa"/>
          </w:tcPr>
          <w:p w:rsidR="00FE5039" w:rsidRPr="004679A6" w:rsidRDefault="00FE5039" w:rsidP="00B03CC0">
            <w:pPr>
              <w:spacing w:line="259" w:lineRule="auto"/>
              <w:ind w:right="47"/>
              <w:jc w:val="right"/>
              <w:cnfStyle w:val="000000100000" w:firstRow="0" w:lastRow="0" w:firstColumn="0" w:lastColumn="0" w:oddVBand="0" w:evenVBand="0" w:oddHBand="1" w:evenHBand="0" w:firstRowFirstColumn="0" w:firstRowLastColumn="0" w:lastRowFirstColumn="0" w:lastRowLastColumn="0"/>
            </w:pPr>
            <w:r w:rsidRPr="004679A6">
              <w:t>0</w:t>
            </w:r>
          </w:p>
        </w:tc>
        <w:tc>
          <w:tcPr>
            <w:tcW w:w="1580" w:type="dxa"/>
          </w:tcPr>
          <w:p w:rsidR="00FE5039" w:rsidRPr="004679A6" w:rsidRDefault="00FE5039" w:rsidP="00B03CC0">
            <w:pPr>
              <w:spacing w:line="259" w:lineRule="auto"/>
              <w:ind w:right="48"/>
              <w:jc w:val="right"/>
              <w:cnfStyle w:val="000000100000" w:firstRow="0" w:lastRow="0" w:firstColumn="0" w:lastColumn="0" w:oddVBand="0" w:evenVBand="0" w:oddHBand="1" w:evenHBand="0" w:firstRowFirstColumn="0" w:firstRowLastColumn="0" w:lastRowFirstColumn="0" w:lastRowLastColumn="0"/>
            </w:pPr>
            <w:r w:rsidRPr="004679A6">
              <w:t>0</w:t>
            </w:r>
          </w:p>
        </w:tc>
        <w:tc>
          <w:tcPr>
            <w:tcW w:w="1742" w:type="dxa"/>
          </w:tcPr>
          <w:p w:rsidR="00FE5039" w:rsidRPr="004679A6" w:rsidRDefault="00FE5039" w:rsidP="00B03CC0">
            <w:pPr>
              <w:spacing w:line="259" w:lineRule="auto"/>
              <w:ind w:right="45"/>
              <w:jc w:val="right"/>
              <w:cnfStyle w:val="000000100000" w:firstRow="0" w:lastRow="0" w:firstColumn="0" w:lastColumn="0" w:oddVBand="0" w:evenVBand="0" w:oddHBand="1" w:evenHBand="0" w:firstRowFirstColumn="0" w:firstRowLastColumn="0" w:lastRowFirstColumn="0" w:lastRowLastColumn="0"/>
            </w:pPr>
            <w:r w:rsidRPr="004679A6">
              <w:t>0</w:t>
            </w:r>
          </w:p>
        </w:tc>
        <w:tc>
          <w:tcPr>
            <w:tcW w:w="2180" w:type="dxa"/>
          </w:tcPr>
          <w:p w:rsidR="00FE5039" w:rsidRPr="004679A6" w:rsidRDefault="00FE5039" w:rsidP="00B03CC0">
            <w:pPr>
              <w:spacing w:line="259" w:lineRule="auto"/>
              <w:ind w:right="46"/>
              <w:jc w:val="right"/>
              <w:cnfStyle w:val="000000100000" w:firstRow="0" w:lastRow="0" w:firstColumn="0" w:lastColumn="0" w:oddVBand="0" w:evenVBand="0" w:oddHBand="1" w:evenHBand="0" w:firstRowFirstColumn="0" w:firstRowLastColumn="0" w:lastRowFirstColumn="0" w:lastRowLastColumn="0"/>
            </w:pPr>
            <w:r w:rsidRPr="004679A6">
              <w:t>0</w:t>
            </w:r>
          </w:p>
        </w:tc>
      </w:tr>
      <w:tr w:rsidR="00FE5039" w:rsidRPr="004679A6"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390" w:type="dxa"/>
          </w:tcPr>
          <w:p w:rsidR="00FE5039" w:rsidRPr="004679A6" w:rsidRDefault="00FE5039" w:rsidP="00B03CC0">
            <w:pPr>
              <w:spacing w:line="259" w:lineRule="auto"/>
              <w:jc w:val="right"/>
              <w:rPr>
                <w:i w:val="0"/>
              </w:rPr>
            </w:pPr>
            <w:r>
              <w:rPr>
                <w:i w:val="0"/>
              </w:rPr>
              <w:t>2009</w:t>
            </w:r>
            <w:r w:rsidRPr="004679A6">
              <w:rPr>
                <w:i w:val="0"/>
              </w:rPr>
              <w:t xml:space="preserve"> </w:t>
            </w:r>
          </w:p>
        </w:tc>
        <w:tc>
          <w:tcPr>
            <w:tcW w:w="1755" w:type="dxa"/>
          </w:tcPr>
          <w:p w:rsidR="00FE5039" w:rsidRPr="004679A6" w:rsidRDefault="00FE5039" w:rsidP="00B03CC0">
            <w:pPr>
              <w:spacing w:line="259" w:lineRule="auto"/>
              <w:ind w:right="47"/>
              <w:jc w:val="right"/>
              <w:cnfStyle w:val="000000010000" w:firstRow="0" w:lastRow="0" w:firstColumn="0" w:lastColumn="0" w:oddVBand="0" w:evenVBand="0" w:oddHBand="0" w:evenHBand="1" w:firstRowFirstColumn="0" w:firstRowLastColumn="0" w:lastRowFirstColumn="0" w:lastRowLastColumn="0"/>
            </w:pPr>
            <w:r w:rsidRPr="004679A6">
              <w:t>2</w:t>
            </w:r>
          </w:p>
        </w:tc>
        <w:tc>
          <w:tcPr>
            <w:tcW w:w="1580" w:type="dxa"/>
          </w:tcPr>
          <w:p w:rsidR="00FE5039" w:rsidRPr="004679A6" w:rsidRDefault="00FE5039" w:rsidP="00B03CC0">
            <w:pPr>
              <w:spacing w:line="259" w:lineRule="auto"/>
              <w:ind w:right="48"/>
              <w:jc w:val="right"/>
              <w:cnfStyle w:val="000000010000" w:firstRow="0" w:lastRow="0" w:firstColumn="0" w:lastColumn="0" w:oddVBand="0" w:evenVBand="0" w:oddHBand="0" w:evenHBand="1" w:firstRowFirstColumn="0" w:firstRowLastColumn="0" w:lastRowFirstColumn="0" w:lastRowLastColumn="0"/>
            </w:pPr>
            <w:r w:rsidRPr="004679A6">
              <w:t>0</w:t>
            </w:r>
          </w:p>
        </w:tc>
        <w:tc>
          <w:tcPr>
            <w:tcW w:w="1742" w:type="dxa"/>
          </w:tcPr>
          <w:p w:rsidR="00FE5039" w:rsidRPr="004679A6" w:rsidRDefault="00FE5039" w:rsidP="00B03CC0">
            <w:pPr>
              <w:spacing w:line="259" w:lineRule="auto"/>
              <w:ind w:right="45"/>
              <w:jc w:val="right"/>
              <w:cnfStyle w:val="000000010000" w:firstRow="0" w:lastRow="0" w:firstColumn="0" w:lastColumn="0" w:oddVBand="0" w:evenVBand="0" w:oddHBand="0" w:evenHBand="1" w:firstRowFirstColumn="0" w:firstRowLastColumn="0" w:lastRowFirstColumn="0" w:lastRowLastColumn="0"/>
            </w:pPr>
            <w:r w:rsidRPr="004679A6">
              <w:t>0</w:t>
            </w:r>
          </w:p>
        </w:tc>
        <w:tc>
          <w:tcPr>
            <w:tcW w:w="2180" w:type="dxa"/>
          </w:tcPr>
          <w:p w:rsidR="00FE5039" w:rsidRPr="004679A6" w:rsidRDefault="00FE5039" w:rsidP="00B03CC0">
            <w:pPr>
              <w:spacing w:line="259" w:lineRule="auto"/>
              <w:ind w:right="46"/>
              <w:jc w:val="right"/>
              <w:cnfStyle w:val="000000010000" w:firstRow="0" w:lastRow="0" w:firstColumn="0" w:lastColumn="0" w:oddVBand="0" w:evenVBand="0" w:oddHBand="0" w:evenHBand="1" w:firstRowFirstColumn="0" w:firstRowLastColumn="0" w:lastRowFirstColumn="0" w:lastRowLastColumn="0"/>
            </w:pPr>
            <w:r w:rsidRPr="004679A6">
              <w:t>0</w:t>
            </w:r>
          </w:p>
        </w:tc>
      </w:tr>
      <w:tr w:rsidR="00FE5039" w:rsidRPr="004679A6" w:rsidTr="00B03CC0">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390" w:type="dxa"/>
          </w:tcPr>
          <w:p w:rsidR="00FE5039" w:rsidRPr="004679A6" w:rsidRDefault="00FE5039" w:rsidP="00B03CC0">
            <w:pPr>
              <w:spacing w:line="259" w:lineRule="auto"/>
              <w:jc w:val="right"/>
              <w:rPr>
                <w:i w:val="0"/>
              </w:rPr>
            </w:pPr>
            <w:r>
              <w:rPr>
                <w:i w:val="0"/>
              </w:rPr>
              <w:t>2010</w:t>
            </w:r>
            <w:r w:rsidRPr="004679A6">
              <w:rPr>
                <w:i w:val="0"/>
              </w:rPr>
              <w:t xml:space="preserve"> </w:t>
            </w:r>
          </w:p>
        </w:tc>
        <w:tc>
          <w:tcPr>
            <w:tcW w:w="1755" w:type="dxa"/>
          </w:tcPr>
          <w:p w:rsidR="00FE5039" w:rsidRPr="004679A6" w:rsidRDefault="00FE5039" w:rsidP="00B03CC0">
            <w:pPr>
              <w:spacing w:line="259" w:lineRule="auto"/>
              <w:ind w:right="47"/>
              <w:jc w:val="right"/>
              <w:cnfStyle w:val="000000100000" w:firstRow="0" w:lastRow="0" w:firstColumn="0" w:lastColumn="0" w:oddVBand="0" w:evenVBand="0" w:oddHBand="1" w:evenHBand="0" w:firstRowFirstColumn="0" w:firstRowLastColumn="0" w:lastRowFirstColumn="0" w:lastRowLastColumn="0"/>
            </w:pPr>
            <w:r w:rsidRPr="004679A6">
              <w:t>0</w:t>
            </w:r>
          </w:p>
        </w:tc>
        <w:tc>
          <w:tcPr>
            <w:tcW w:w="1580" w:type="dxa"/>
          </w:tcPr>
          <w:p w:rsidR="00FE5039" w:rsidRPr="004679A6" w:rsidRDefault="00FE5039" w:rsidP="00B03CC0">
            <w:pPr>
              <w:spacing w:line="259" w:lineRule="auto"/>
              <w:ind w:right="48"/>
              <w:jc w:val="right"/>
              <w:cnfStyle w:val="000000100000" w:firstRow="0" w:lastRow="0" w:firstColumn="0" w:lastColumn="0" w:oddVBand="0" w:evenVBand="0" w:oddHBand="1" w:evenHBand="0" w:firstRowFirstColumn="0" w:firstRowLastColumn="0" w:lastRowFirstColumn="0" w:lastRowLastColumn="0"/>
            </w:pPr>
            <w:r w:rsidRPr="004679A6">
              <w:t>0</w:t>
            </w:r>
          </w:p>
        </w:tc>
        <w:tc>
          <w:tcPr>
            <w:tcW w:w="1742" w:type="dxa"/>
          </w:tcPr>
          <w:p w:rsidR="00FE5039" w:rsidRPr="004679A6" w:rsidRDefault="00FE5039" w:rsidP="00B03CC0">
            <w:pPr>
              <w:spacing w:line="259" w:lineRule="auto"/>
              <w:ind w:right="45"/>
              <w:jc w:val="right"/>
              <w:cnfStyle w:val="000000100000" w:firstRow="0" w:lastRow="0" w:firstColumn="0" w:lastColumn="0" w:oddVBand="0" w:evenVBand="0" w:oddHBand="1" w:evenHBand="0" w:firstRowFirstColumn="0" w:firstRowLastColumn="0" w:lastRowFirstColumn="0" w:lastRowLastColumn="0"/>
            </w:pPr>
            <w:r w:rsidRPr="004679A6">
              <w:t>0</w:t>
            </w:r>
          </w:p>
        </w:tc>
        <w:tc>
          <w:tcPr>
            <w:tcW w:w="2180" w:type="dxa"/>
          </w:tcPr>
          <w:p w:rsidR="00FE5039" w:rsidRPr="004679A6" w:rsidRDefault="00FE5039" w:rsidP="00B03CC0">
            <w:pPr>
              <w:spacing w:line="259" w:lineRule="auto"/>
              <w:ind w:right="46"/>
              <w:jc w:val="right"/>
              <w:cnfStyle w:val="000000100000" w:firstRow="0" w:lastRow="0" w:firstColumn="0" w:lastColumn="0" w:oddVBand="0" w:evenVBand="0" w:oddHBand="1" w:evenHBand="0" w:firstRowFirstColumn="0" w:firstRowLastColumn="0" w:lastRowFirstColumn="0" w:lastRowLastColumn="0"/>
            </w:pPr>
            <w:r w:rsidRPr="004679A6">
              <w:t>0</w:t>
            </w:r>
          </w:p>
        </w:tc>
      </w:tr>
      <w:tr w:rsidR="00FE5039" w:rsidRPr="004679A6"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390" w:type="dxa"/>
          </w:tcPr>
          <w:p w:rsidR="00FE5039" w:rsidRPr="004679A6" w:rsidRDefault="00FE5039" w:rsidP="00B03CC0">
            <w:pPr>
              <w:spacing w:line="259" w:lineRule="auto"/>
              <w:jc w:val="right"/>
              <w:rPr>
                <w:i w:val="0"/>
              </w:rPr>
            </w:pPr>
            <w:r>
              <w:rPr>
                <w:i w:val="0"/>
              </w:rPr>
              <w:t>2011</w:t>
            </w:r>
            <w:r w:rsidRPr="004679A6">
              <w:rPr>
                <w:i w:val="0"/>
              </w:rPr>
              <w:t xml:space="preserve"> </w:t>
            </w:r>
          </w:p>
        </w:tc>
        <w:tc>
          <w:tcPr>
            <w:tcW w:w="1755" w:type="dxa"/>
          </w:tcPr>
          <w:p w:rsidR="00FE5039" w:rsidRPr="004679A6" w:rsidRDefault="00FE5039" w:rsidP="00B03CC0">
            <w:pPr>
              <w:spacing w:line="259" w:lineRule="auto"/>
              <w:ind w:right="47"/>
              <w:jc w:val="right"/>
              <w:cnfStyle w:val="000000010000" w:firstRow="0" w:lastRow="0" w:firstColumn="0" w:lastColumn="0" w:oddVBand="0" w:evenVBand="0" w:oddHBand="0" w:evenHBand="1" w:firstRowFirstColumn="0" w:firstRowLastColumn="0" w:lastRowFirstColumn="0" w:lastRowLastColumn="0"/>
            </w:pPr>
            <w:r w:rsidRPr="004679A6">
              <w:t>1</w:t>
            </w:r>
          </w:p>
        </w:tc>
        <w:tc>
          <w:tcPr>
            <w:tcW w:w="1580" w:type="dxa"/>
          </w:tcPr>
          <w:p w:rsidR="00FE5039" w:rsidRPr="004679A6" w:rsidRDefault="00FE5039" w:rsidP="00B03CC0">
            <w:pPr>
              <w:spacing w:line="259" w:lineRule="auto"/>
              <w:ind w:right="48"/>
              <w:jc w:val="right"/>
              <w:cnfStyle w:val="000000010000" w:firstRow="0" w:lastRow="0" w:firstColumn="0" w:lastColumn="0" w:oddVBand="0" w:evenVBand="0" w:oddHBand="0" w:evenHBand="1" w:firstRowFirstColumn="0" w:firstRowLastColumn="0" w:lastRowFirstColumn="0" w:lastRowLastColumn="0"/>
            </w:pPr>
            <w:r w:rsidRPr="004679A6">
              <w:t>0</w:t>
            </w:r>
          </w:p>
        </w:tc>
        <w:tc>
          <w:tcPr>
            <w:tcW w:w="1742" w:type="dxa"/>
          </w:tcPr>
          <w:p w:rsidR="00FE5039" w:rsidRPr="004679A6" w:rsidRDefault="00FE5039" w:rsidP="00B03CC0">
            <w:pPr>
              <w:spacing w:line="259" w:lineRule="auto"/>
              <w:ind w:right="45"/>
              <w:jc w:val="right"/>
              <w:cnfStyle w:val="000000010000" w:firstRow="0" w:lastRow="0" w:firstColumn="0" w:lastColumn="0" w:oddVBand="0" w:evenVBand="0" w:oddHBand="0" w:evenHBand="1" w:firstRowFirstColumn="0" w:firstRowLastColumn="0" w:lastRowFirstColumn="0" w:lastRowLastColumn="0"/>
            </w:pPr>
            <w:r w:rsidRPr="004679A6">
              <w:t>0</w:t>
            </w:r>
          </w:p>
        </w:tc>
        <w:tc>
          <w:tcPr>
            <w:tcW w:w="2180" w:type="dxa"/>
          </w:tcPr>
          <w:p w:rsidR="00FE5039" w:rsidRPr="004679A6" w:rsidRDefault="00FE5039" w:rsidP="00B03CC0">
            <w:pPr>
              <w:spacing w:line="259" w:lineRule="auto"/>
              <w:ind w:right="46"/>
              <w:jc w:val="right"/>
              <w:cnfStyle w:val="000000010000" w:firstRow="0" w:lastRow="0" w:firstColumn="0" w:lastColumn="0" w:oddVBand="0" w:evenVBand="0" w:oddHBand="0" w:evenHBand="1" w:firstRowFirstColumn="0" w:firstRowLastColumn="0" w:lastRowFirstColumn="0" w:lastRowLastColumn="0"/>
            </w:pPr>
            <w:r w:rsidRPr="004679A6">
              <w:t>0</w:t>
            </w:r>
          </w:p>
        </w:tc>
      </w:tr>
      <w:tr w:rsidR="00FE5039" w:rsidRPr="004679A6" w:rsidTr="00B03CC0">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390" w:type="dxa"/>
          </w:tcPr>
          <w:p w:rsidR="00FE5039" w:rsidRPr="004679A6" w:rsidRDefault="00FE5039" w:rsidP="00B03CC0">
            <w:pPr>
              <w:spacing w:line="259" w:lineRule="auto"/>
              <w:jc w:val="right"/>
              <w:rPr>
                <w:i w:val="0"/>
              </w:rPr>
            </w:pPr>
            <w:r>
              <w:rPr>
                <w:i w:val="0"/>
              </w:rPr>
              <w:t>2012</w:t>
            </w:r>
            <w:r w:rsidRPr="004679A6">
              <w:rPr>
                <w:i w:val="0"/>
              </w:rPr>
              <w:t xml:space="preserve"> </w:t>
            </w:r>
          </w:p>
        </w:tc>
        <w:tc>
          <w:tcPr>
            <w:tcW w:w="1755" w:type="dxa"/>
          </w:tcPr>
          <w:p w:rsidR="00FE5039" w:rsidRPr="004679A6" w:rsidRDefault="00FE5039" w:rsidP="00B03CC0">
            <w:pPr>
              <w:spacing w:line="259" w:lineRule="auto"/>
              <w:ind w:right="47"/>
              <w:jc w:val="right"/>
              <w:cnfStyle w:val="000000100000" w:firstRow="0" w:lastRow="0" w:firstColumn="0" w:lastColumn="0" w:oddVBand="0" w:evenVBand="0" w:oddHBand="1" w:evenHBand="0" w:firstRowFirstColumn="0" w:firstRowLastColumn="0" w:lastRowFirstColumn="0" w:lastRowLastColumn="0"/>
            </w:pPr>
            <w:r w:rsidRPr="004679A6">
              <w:t>20</w:t>
            </w:r>
          </w:p>
        </w:tc>
        <w:tc>
          <w:tcPr>
            <w:tcW w:w="1580" w:type="dxa"/>
          </w:tcPr>
          <w:p w:rsidR="00FE5039" w:rsidRPr="004679A6" w:rsidRDefault="00FE5039" w:rsidP="00B03CC0">
            <w:pPr>
              <w:spacing w:line="259" w:lineRule="auto"/>
              <w:ind w:right="48"/>
              <w:jc w:val="right"/>
              <w:cnfStyle w:val="000000100000" w:firstRow="0" w:lastRow="0" w:firstColumn="0" w:lastColumn="0" w:oddVBand="0" w:evenVBand="0" w:oddHBand="1" w:evenHBand="0" w:firstRowFirstColumn="0" w:firstRowLastColumn="0" w:lastRowFirstColumn="0" w:lastRowLastColumn="0"/>
            </w:pPr>
            <w:r w:rsidRPr="004679A6">
              <w:t>1</w:t>
            </w:r>
          </w:p>
        </w:tc>
        <w:tc>
          <w:tcPr>
            <w:tcW w:w="1742" w:type="dxa"/>
          </w:tcPr>
          <w:p w:rsidR="00FE5039" w:rsidRPr="004679A6" w:rsidRDefault="00FE5039" w:rsidP="00B03CC0">
            <w:pPr>
              <w:spacing w:line="259" w:lineRule="auto"/>
              <w:ind w:right="45"/>
              <w:jc w:val="right"/>
              <w:cnfStyle w:val="000000100000" w:firstRow="0" w:lastRow="0" w:firstColumn="0" w:lastColumn="0" w:oddVBand="0" w:evenVBand="0" w:oddHBand="1" w:evenHBand="0" w:firstRowFirstColumn="0" w:firstRowLastColumn="0" w:lastRowFirstColumn="0" w:lastRowLastColumn="0"/>
            </w:pPr>
            <w:r w:rsidRPr="004679A6">
              <w:t>4</w:t>
            </w:r>
          </w:p>
        </w:tc>
        <w:tc>
          <w:tcPr>
            <w:tcW w:w="2180" w:type="dxa"/>
          </w:tcPr>
          <w:p w:rsidR="00FE5039" w:rsidRPr="004679A6" w:rsidRDefault="00FE5039" w:rsidP="00B03CC0">
            <w:pPr>
              <w:spacing w:line="259" w:lineRule="auto"/>
              <w:ind w:right="46"/>
              <w:jc w:val="right"/>
              <w:cnfStyle w:val="000000100000" w:firstRow="0" w:lastRow="0" w:firstColumn="0" w:lastColumn="0" w:oddVBand="0" w:evenVBand="0" w:oddHBand="1" w:evenHBand="0" w:firstRowFirstColumn="0" w:firstRowLastColumn="0" w:lastRowFirstColumn="0" w:lastRowLastColumn="0"/>
            </w:pPr>
            <w:r w:rsidRPr="004679A6">
              <w:t>20,0</w:t>
            </w:r>
          </w:p>
        </w:tc>
      </w:tr>
      <w:tr w:rsidR="00FE5039" w:rsidRPr="004679A6"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390" w:type="dxa"/>
          </w:tcPr>
          <w:p w:rsidR="00FE5039" w:rsidRPr="004679A6" w:rsidRDefault="00FE5039" w:rsidP="00B03CC0">
            <w:pPr>
              <w:spacing w:line="259" w:lineRule="auto"/>
              <w:jc w:val="right"/>
              <w:rPr>
                <w:i w:val="0"/>
              </w:rPr>
            </w:pPr>
            <w:r w:rsidRPr="004679A6">
              <w:rPr>
                <w:i w:val="0"/>
              </w:rPr>
              <w:t>2013</w:t>
            </w:r>
          </w:p>
        </w:tc>
        <w:tc>
          <w:tcPr>
            <w:tcW w:w="1755" w:type="dxa"/>
          </w:tcPr>
          <w:p w:rsidR="00FE5039" w:rsidRPr="004679A6" w:rsidRDefault="00FE5039" w:rsidP="00B03CC0">
            <w:pPr>
              <w:spacing w:line="259" w:lineRule="auto"/>
              <w:ind w:right="47"/>
              <w:jc w:val="right"/>
              <w:cnfStyle w:val="000000010000" w:firstRow="0" w:lastRow="0" w:firstColumn="0" w:lastColumn="0" w:oddVBand="0" w:evenVBand="0" w:oddHBand="0" w:evenHBand="1" w:firstRowFirstColumn="0" w:firstRowLastColumn="0" w:lastRowFirstColumn="0" w:lastRowLastColumn="0"/>
            </w:pPr>
            <w:r w:rsidRPr="004679A6">
              <w:t>31</w:t>
            </w:r>
          </w:p>
        </w:tc>
        <w:tc>
          <w:tcPr>
            <w:tcW w:w="1580" w:type="dxa"/>
          </w:tcPr>
          <w:p w:rsidR="00FE5039" w:rsidRPr="004679A6" w:rsidRDefault="00FE5039" w:rsidP="00B03CC0">
            <w:pPr>
              <w:spacing w:line="259" w:lineRule="auto"/>
              <w:ind w:right="48"/>
              <w:jc w:val="right"/>
              <w:cnfStyle w:val="000000010000" w:firstRow="0" w:lastRow="0" w:firstColumn="0" w:lastColumn="0" w:oddVBand="0" w:evenVBand="0" w:oddHBand="0" w:evenHBand="1" w:firstRowFirstColumn="0" w:firstRowLastColumn="0" w:lastRowFirstColumn="0" w:lastRowLastColumn="0"/>
            </w:pPr>
            <w:r w:rsidRPr="004679A6">
              <w:t>3</w:t>
            </w:r>
          </w:p>
        </w:tc>
        <w:tc>
          <w:tcPr>
            <w:tcW w:w="1742" w:type="dxa"/>
          </w:tcPr>
          <w:p w:rsidR="00FE5039" w:rsidRPr="004679A6" w:rsidRDefault="00FE5039" w:rsidP="00B03CC0">
            <w:pPr>
              <w:spacing w:line="259" w:lineRule="auto"/>
              <w:ind w:right="45"/>
              <w:jc w:val="right"/>
              <w:cnfStyle w:val="000000010000" w:firstRow="0" w:lastRow="0" w:firstColumn="0" w:lastColumn="0" w:oddVBand="0" w:evenVBand="0" w:oddHBand="0" w:evenHBand="1" w:firstRowFirstColumn="0" w:firstRowLastColumn="0" w:lastRowFirstColumn="0" w:lastRowLastColumn="0"/>
            </w:pPr>
            <w:r w:rsidRPr="004679A6">
              <w:t>9</w:t>
            </w:r>
          </w:p>
        </w:tc>
        <w:tc>
          <w:tcPr>
            <w:tcW w:w="2180" w:type="dxa"/>
          </w:tcPr>
          <w:p w:rsidR="00FE5039" w:rsidRPr="004679A6" w:rsidRDefault="00FE5039" w:rsidP="00B03CC0">
            <w:pPr>
              <w:spacing w:line="259" w:lineRule="auto"/>
              <w:ind w:right="46"/>
              <w:jc w:val="right"/>
              <w:cnfStyle w:val="000000010000" w:firstRow="0" w:lastRow="0" w:firstColumn="0" w:lastColumn="0" w:oddVBand="0" w:evenVBand="0" w:oddHBand="0" w:evenHBand="1" w:firstRowFirstColumn="0" w:firstRowLastColumn="0" w:lastRowFirstColumn="0" w:lastRowLastColumn="0"/>
            </w:pPr>
            <w:r w:rsidRPr="004679A6">
              <w:t>29,0</w:t>
            </w:r>
          </w:p>
        </w:tc>
      </w:tr>
      <w:tr w:rsidR="00FE5039" w:rsidRPr="004679A6" w:rsidTr="00B03CC0">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390" w:type="dxa"/>
          </w:tcPr>
          <w:p w:rsidR="00FE5039" w:rsidRPr="00CC27CE" w:rsidRDefault="00FE5039" w:rsidP="00B03CC0">
            <w:pPr>
              <w:spacing w:line="259" w:lineRule="auto"/>
              <w:jc w:val="right"/>
              <w:rPr>
                <w:i w:val="0"/>
              </w:rPr>
            </w:pPr>
            <w:r>
              <w:rPr>
                <w:i w:val="0"/>
              </w:rPr>
              <w:t>2014</w:t>
            </w:r>
          </w:p>
        </w:tc>
        <w:tc>
          <w:tcPr>
            <w:tcW w:w="1755" w:type="dxa"/>
          </w:tcPr>
          <w:p w:rsidR="00FE5039" w:rsidRPr="004679A6" w:rsidRDefault="00FE5039" w:rsidP="00B03CC0">
            <w:pPr>
              <w:spacing w:line="259" w:lineRule="auto"/>
              <w:ind w:right="47"/>
              <w:jc w:val="right"/>
              <w:cnfStyle w:val="000000100000" w:firstRow="0" w:lastRow="0" w:firstColumn="0" w:lastColumn="0" w:oddVBand="0" w:evenVBand="0" w:oddHBand="1" w:evenHBand="0" w:firstRowFirstColumn="0" w:firstRowLastColumn="0" w:lastRowFirstColumn="0" w:lastRowLastColumn="0"/>
            </w:pPr>
            <w:r>
              <w:t>247</w:t>
            </w:r>
          </w:p>
        </w:tc>
        <w:tc>
          <w:tcPr>
            <w:tcW w:w="1580" w:type="dxa"/>
          </w:tcPr>
          <w:p w:rsidR="00FE5039" w:rsidRPr="004679A6" w:rsidRDefault="00FE5039" w:rsidP="00B03CC0">
            <w:pPr>
              <w:spacing w:line="259" w:lineRule="auto"/>
              <w:ind w:right="48"/>
              <w:jc w:val="right"/>
              <w:cnfStyle w:val="000000100000" w:firstRow="0" w:lastRow="0" w:firstColumn="0" w:lastColumn="0" w:oddVBand="0" w:evenVBand="0" w:oddHBand="1" w:evenHBand="0" w:firstRowFirstColumn="0" w:firstRowLastColumn="0" w:lastRowFirstColumn="0" w:lastRowLastColumn="0"/>
            </w:pPr>
            <w:r>
              <w:t>12</w:t>
            </w:r>
          </w:p>
        </w:tc>
        <w:tc>
          <w:tcPr>
            <w:tcW w:w="1742" w:type="dxa"/>
          </w:tcPr>
          <w:p w:rsidR="00FE5039" w:rsidRPr="004679A6" w:rsidRDefault="00FE5039" w:rsidP="00B03CC0">
            <w:pPr>
              <w:spacing w:line="259" w:lineRule="auto"/>
              <w:ind w:right="45"/>
              <w:jc w:val="right"/>
              <w:cnfStyle w:val="000000100000" w:firstRow="0" w:lastRow="0" w:firstColumn="0" w:lastColumn="0" w:oddVBand="0" w:evenVBand="0" w:oddHBand="1" w:evenHBand="0" w:firstRowFirstColumn="0" w:firstRowLastColumn="0" w:lastRowFirstColumn="0" w:lastRowLastColumn="0"/>
            </w:pPr>
            <w:r>
              <w:t>42</w:t>
            </w:r>
          </w:p>
        </w:tc>
        <w:tc>
          <w:tcPr>
            <w:tcW w:w="2180" w:type="dxa"/>
          </w:tcPr>
          <w:p w:rsidR="00FE5039" w:rsidRPr="004679A6" w:rsidRDefault="00FE5039" w:rsidP="00B03CC0">
            <w:pPr>
              <w:spacing w:line="259" w:lineRule="auto"/>
              <w:ind w:right="46"/>
              <w:jc w:val="right"/>
              <w:cnfStyle w:val="000000100000" w:firstRow="0" w:lastRow="0" w:firstColumn="0" w:lastColumn="0" w:oddVBand="0" w:evenVBand="0" w:oddHBand="1" w:evenHBand="0" w:firstRowFirstColumn="0" w:firstRowLastColumn="0" w:lastRowFirstColumn="0" w:lastRowLastColumn="0"/>
            </w:pPr>
            <w:r>
              <w:t>17,0</w:t>
            </w:r>
          </w:p>
        </w:tc>
      </w:tr>
      <w:tr w:rsidR="00FE5039" w:rsidRPr="004679A6"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390" w:type="dxa"/>
          </w:tcPr>
          <w:p w:rsidR="00FE5039" w:rsidRPr="00CC27CE" w:rsidRDefault="00FE5039" w:rsidP="00B03CC0">
            <w:pPr>
              <w:spacing w:line="259" w:lineRule="auto"/>
              <w:jc w:val="right"/>
              <w:rPr>
                <w:i w:val="0"/>
              </w:rPr>
            </w:pPr>
            <w:r>
              <w:rPr>
                <w:i w:val="0"/>
              </w:rPr>
              <w:t>2015</w:t>
            </w:r>
          </w:p>
        </w:tc>
        <w:tc>
          <w:tcPr>
            <w:tcW w:w="1755" w:type="dxa"/>
          </w:tcPr>
          <w:p w:rsidR="00FE5039" w:rsidRPr="004679A6" w:rsidRDefault="00FE5039" w:rsidP="002F1EC5">
            <w:pPr>
              <w:spacing w:line="259" w:lineRule="auto"/>
              <w:ind w:right="47"/>
              <w:jc w:val="right"/>
              <w:cnfStyle w:val="000000010000" w:firstRow="0" w:lastRow="0" w:firstColumn="0" w:lastColumn="0" w:oddVBand="0" w:evenVBand="0" w:oddHBand="0" w:evenHBand="1" w:firstRowFirstColumn="0" w:firstRowLastColumn="0" w:lastRowFirstColumn="0" w:lastRowLastColumn="0"/>
            </w:pPr>
            <w:r>
              <w:t>63</w:t>
            </w:r>
          </w:p>
        </w:tc>
        <w:tc>
          <w:tcPr>
            <w:tcW w:w="1580" w:type="dxa"/>
          </w:tcPr>
          <w:p w:rsidR="00FE5039" w:rsidRPr="004679A6" w:rsidRDefault="00FE5039" w:rsidP="002F1EC5">
            <w:pPr>
              <w:spacing w:line="259" w:lineRule="auto"/>
              <w:ind w:right="48"/>
              <w:jc w:val="right"/>
              <w:cnfStyle w:val="000000010000" w:firstRow="0" w:lastRow="0" w:firstColumn="0" w:lastColumn="0" w:oddVBand="0" w:evenVBand="0" w:oddHBand="0" w:evenHBand="1" w:firstRowFirstColumn="0" w:firstRowLastColumn="0" w:lastRowFirstColumn="0" w:lastRowLastColumn="0"/>
            </w:pPr>
            <w:r>
              <w:t>6</w:t>
            </w:r>
          </w:p>
        </w:tc>
        <w:tc>
          <w:tcPr>
            <w:tcW w:w="1742" w:type="dxa"/>
          </w:tcPr>
          <w:p w:rsidR="00FE5039" w:rsidRPr="004679A6" w:rsidRDefault="00FE5039" w:rsidP="002F1EC5">
            <w:pPr>
              <w:spacing w:line="259" w:lineRule="auto"/>
              <w:ind w:right="45"/>
              <w:jc w:val="right"/>
              <w:cnfStyle w:val="000000010000" w:firstRow="0" w:lastRow="0" w:firstColumn="0" w:lastColumn="0" w:oddVBand="0" w:evenVBand="0" w:oddHBand="0" w:evenHBand="1" w:firstRowFirstColumn="0" w:firstRowLastColumn="0" w:lastRowFirstColumn="0" w:lastRowLastColumn="0"/>
            </w:pPr>
            <w:r>
              <w:t>25</w:t>
            </w:r>
          </w:p>
        </w:tc>
        <w:tc>
          <w:tcPr>
            <w:tcW w:w="2180" w:type="dxa"/>
          </w:tcPr>
          <w:p w:rsidR="00FE5039" w:rsidRPr="004679A6" w:rsidRDefault="00FE5039" w:rsidP="00B03CC0">
            <w:pPr>
              <w:spacing w:line="259" w:lineRule="auto"/>
              <w:ind w:right="46"/>
              <w:jc w:val="right"/>
              <w:cnfStyle w:val="000000010000" w:firstRow="0" w:lastRow="0" w:firstColumn="0" w:lastColumn="0" w:oddVBand="0" w:evenVBand="0" w:oddHBand="0" w:evenHBand="1" w:firstRowFirstColumn="0" w:firstRowLastColumn="0" w:lastRowFirstColumn="0" w:lastRowLastColumn="0"/>
            </w:pPr>
            <w:r>
              <w:t>39,6</w:t>
            </w:r>
          </w:p>
        </w:tc>
      </w:tr>
      <w:tr w:rsidR="00FE5039" w:rsidRPr="004679A6" w:rsidTr="00B03CC0">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390" w:type="dxa"/>
          </w:tcPr>
          <w:p w:rsidR="00FE5039" w:rsidRPr="007C2529" w:rsidRDefault="00FE5039" w:rsidP="00B03CC0">
            <w:pPr>
              <w:spacing w:line="259" w:lineRule="auto"/>
              <w:jc w:val="right"/>
              <w:rPr>
                <w:i w:val="0"/>
              </w:rPr>
            </w:pPr>
            <w:r>
              <w:rPr>
                <w:i w:val="0"/>
              </w:rPr>
              <w:t>2016</w:t>
            </w:r>
          </w:p>
        </w:tc>
        <w:tc>
          <w:tcPr>
            <w:tcW w:w="1755" w:type="dxa"/>
          </w:tcPr>
          <w:p w:rsidR="00FE5039" w:rsidRPr="00DA3202" w:rsidRDefault="00FE5039" w:rsidP="002F1EC5">
            <w:pPr>
              <w:spacing w:line="259" w:lineRule="auto"/>
              <w:ind w:right="47"/>
              <w:jc w:val="right"/>
              <w:cnfStyle w:val="000000100000" w:firstRow="0" w:lastRow="0" w:firstColumn="0" w:lastColumn="0" w:oddVBand="0" w:evenVBand="0" w:oddHBand="1" w:evenHBand="0" w:firstRowFirstColumn="0" w:firstRowLastColumn="0" w:lastRowFirstColumn="0" w:lastRowLastColumn="0"/>
            </w:pPr>
            <w:r>
              <w:t>140</w:t>
            </w:r>
          </w:p>
        </w:tc>
        <w:tc>
          <w:tcPr>
            <w:tcW w:w="1580" w:type="dxa"/>
          </w:tcPr>
          <w:p w:rsidR="00FE5039" w:rsidRPr="006F3B02" w:rsidRDefault="00FE5039" w:rsidP="002F1EC5">
            <w:pPr>
              <w:spacing w:line="259" w:lineRule="auto"/>
              <w:ind w:right="48"/>
              <w:jc w:val="right"/>
              <w:cnfStyle w:val="000000100000" w:firstRow="0" w:lastRow="0" w:firstColumn="0" w:lastColumn="0" w:oddVBand="0" w:evenVBand="0" w:oddHBand="1" w:evenHBand="0" w:firstRowFirstColumn="0" w:firstRowLastColumn="0" w:lastRowFirstColumn="0" w:lastRowLastColumn="0"/>
            </w:pPr>
            <w:r>
              <w:t>4</w:t>
            </w:r>
          </w:p>
        </w:tc>
        <w:tc>
          <w:tcPr>
            <w:tcW w:w="1742" w:type="dxa"/>
          </w:tcPr>
          <w:p w:rsidR="00FE5039" w:rsidRPr="006F3B02" w:rsidRDefault="00FE5039" w:rsidP="00B03CC0">
            <w:pPr>
              <w:spacing w:line="259" w:lineRule="auto"/>
              <w:ind w:right="45"/>
              <w:jc w:val="right"/>
              <w:cnfStyle w:val="000000100000" w:firstRow="0" w:lastRow="0" w:firstColumn="0" w:lastColumn="0" w:oddVBand="0" w:evenVBand="0" w:oddHBand="1" w:evenHBand="0" w:firstRowFirstColumn="0" w:firstRowLastColumn="0" w:lastRowFirstColumn="0" w:lastRowLastColumn="0"/>
            </w:pPr>
            <w:r>
              <w:t>25</w:t>
            </w:r>
          </w:p>
        </w:tc>
        <w:tc>
          <w:tcPr>
            <w:tcW w:w="2180" w:type="dxa"/>
          </w:tcPr>
          <w:p w:rsidR="00FE5039" w:rsidRPr="00DA3202" w:rsidRDefault="00FE5039" w:rsidP="00B03CC0">
            <w:pPr>
              <w:spacing w:line="259" w:lineRule="auto"/>
              <w:ind w:right="46"/>
              <w:jc w:val="right"/>
              <w:cnfStyle w:val="000000100000" w:firstRow="0" w:lastRow="0" w:firstColumn="0" w:lastColumn="0" w:oddVBand="0" w:evenVBand="0" w:oddHBand="1" w:evenHBand="0" w:firstRowFirstColumn="0" w:firstRowLastColumn="0" w:lastRowFirstColumn="0" w:lastRowLastColumn="0"/>
            </w:pPr>
            <w:r>
              <w:t>17,9</w:t>
            </w:r>
          </w:p>
        </w:tc>
      </w:tr>
      <w:tr w:rsidR="00FE5039" w:rsidRPr="004679A6" w:rsidTr="00B03CC0">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390" w:type="dxa"/>
          </w:tcPr>
          <w:p w:rsidR="00FE5039" w:rsidRPr="00AD391B" w:rsidRDefault="00FE5039" w:rsidP="00B03CC0">
            <w:pPr>
              <w:spacing w:line="259" w:lineRule="auto"/>
              <w:jc w:val="right"/>
              <w:rPr>
                <w:lang w:val="sr-Cyrl-RS"/>
              </w:rPr>
            </w:pPr>
            <w:r>
              <w:rPr>
                <w:lang w:val="sr-Cyrl-RS"/>
              </w:rPr>
              <w:t>2017</w:t>
            </w:r>
          </w:p>
        </w:tc>
        <w:tc>
          <w:tcPr>
            <w:tcW w:w="1755" w:type="dxa"/>
          </w:tcPr>
          <w:p w:rsidR="00FE5039" w:rsidRPr="00F56935" w:rsidRDefault="00FE5039" w:rsidP="002F1EC5">
            <w:pPr>
              <w:spacing w:line="259" w:lineRule="auto"/>
              <w:ind w:right="47"/>
              <w:jc w:val="right"/>
              <w:cnfStyle w:val="000000010000" w:firstRow="0" w:lastRow="0" w:firstColumn="0" w:lastColumn="0" w:oddVBand="0" w:evenVBand="0" w:oddHBand="0" w:evenHBand="1" w:firstRowFirstColumn="0" w:firstRowLastColumn="0" w:lastRowFirstColumn="0" w:lastRowLastColumn="0"/>
              <w:rPr>
                <w:lang w:val="sr-Cyrl-RS"/>
              </w:rPr>
            </w:pPr>
            <w:r>
              <w:rPr>
                <w:lang w:val="sr-Cyrl-RS"/>
              </w:rPr>
              <w:t>235</w:t>
            </w:r>
          </w:p>
        </w:tc>
        <w:tc>
          <w:tcPr>
            <w:tcW w:w="1580" w:type="dxa"/>
          </w:tcPr>
          <w:p w:rsidR="00FE5039" w:rsidRPr="00F56935" w:rsidRDefault="00FE5039" w:rsidP="002F1EC5">
            <w:pPr>
              <w:spacing w:line="259" w:lineRule="auto"/>
              <w:ind w:right="48"/>
              <w:jc w:val="right"/>
              <w:cnfStyle w:val="000000010000" w:firstRow="0" w:lastRow="0" w:firstColumn="0" w:lastColumn="0" w:oddVBand="0" w:evenVBand="0" w:oddHBand="0" w:evenHBand="1" w:firstRowFirstColumn="0" w:firstRowLastColumn="0" w:lastRowFirstColumn="0" w:lastRowLastColumn="0"/>
              <w:rPr>
                <w:lang w:val="sr-Cyrl-RS"/>
              </w:rPr>
            </w:pPr>
            <w:r>
              <w:rPr>
                <w:lang w:val="sr-Cyrl-RS"/>
              </w:rPr>
              <w:t>2</w:t>
            </w:r>
          </w:p>
        </w:tc>
        <w:tc>
          <w:tcPr>
            <w:tcW w:w="1742" w:type="dxa"/>
          </w:tcPr>
          <w:p w:rsidR="00FE5039" w:rsidRPr="00F56935" w:rsidRDefault="00FE5039" w:rsidP="00B03CC0">
            <w:pPr>
              <w:spacing w:line="259" w:lineRule="auto"/>
              <w:ind w:right="45"/>
              <w:jc w:val="right"/>
              <w:cnfStyle w:val="000000010000" w:firstRow="0" w:lastRow="0" w:firstColumn="0" w:lastColumn="0" w:oddVBand="0" w:evenVBand="0" w:oddHBand="0" w:evenHBand="1" w:firstRowFirstColumn="0" w:firstRowLastColumn="0" w:lastRowFirstColumn="0" w:lastRowLastColumn="0"/>
              <w:rPr>
                <w:lang w:val="sr-Cyrl-RS"/>
              </w:rPr>
            </w:pPr>
            <w:r>
              <w:rPr>
                <w:lang w:val="sr-Cyrl-RS"/>
              </w:rPr>
              <w:t>9</w:t>
            </w:r>
          </w:p>
        </w:tc>
        <w:tc>
          <w:tcPr>
            <w:tcW w:w="2180" w:type="dxa"/>
          </w:tcPr>
          <w:p w:rsidR="00FE5039" w:rsidRPr="00F56935" w:rsidRDefault="00FE5039" w:rsidP="00B03CC0">
            <w:pPr>
              <w:spacing w:line="259" w:lineRule="auto"/>
              <w:ind w:right="46"/>
              <w:jc w:val="right"/>
              <w:cnfStyle w:val="000000010000" w:firstRow="0" w:lastRow="0" w:firstColumn="0" w:lastColumn="0" w:oddVBand="0" w:evenVBand="0" w:oddHBand="0" w:evenHBand="1" w:firstRowFirstColumn="0" w:firstRowLastColumn="0" w:lastRowFirstColumn="0" w:lastRowLastColumn="0"/>
              <w:rPr>
                <w:lang w:val="sr-Cyrl-RS"/>
              </w:rPr>
            </w:pPr>
            <w:r>
              <w:rPr>
                <w:lang w:val="sr-Cyrl-RS"/>
              </w:rPr>
              <w:t>3,8</w:t>
            </w:r>
          </w:p>
        </w:tc>
      </w:tr>
      <w:tr w:rsidR="00FE5039" w:rsidRPr="004679A6" w:rsidTr="00B03CC0">
        <w:trPr>
          <w:cnfStyle w:val="000000100000" w:firstRow="0" w:lastRow="0" w:firstColumn="0" w:lastColumn="0" w:oddVBand="0" w:evenVBand="0" w:oddHBand="1" w:evenHBand="0" w:firstRowFirstColumn="0" w:firstRowLastColumn="0" w:lastRowFirstColumn="0" w:lastRowLastColumn="0"/>
          <w:trHeight w:val="264"/>
          <w:jc w:val="center"/>
        </w:trPr>
        <w:tc>
          <w:tcPr>
            <w:cnfStyle w:val="001000000000" w:firstRow="0" w:lastRow="0" w:firstColumn="1" w:lastColumn="0" w:oddVBand="0" w:evenVBand="0" w:oddHBand="0" w:evenHBand="0" w:firstRowFirstColumn="0" w:firstRowLastColumn="0" w:lastRowFirstColumn="0" w:lastRowLastColumn="0"/>
            <w:tcW w:w="1390" w:type="dxa"/>
          </w:tcPr>
          <w:p w:rsidR="00FE5039" w:rsidRPr="004679A6" w:rsidRDefault="00FE5039" w:rsidP="002F1EC5">
            <w:pPr>
              <w:spacing w:line="259" w:lineRule="auto"/>
              <w:jc w:val="right"/>
              <w:rPr>
                <w:b/>
                <w:i w:val="0"/>
              </w:rPr>
            </w:pPr>
            <w:r w:rsidRPr="004679A6">
              <w:rPr>
                <w:b/>
                <w:i w:val="0"/>
              </w:rPr>
              <w:t xml:space="preserve">Укупно </w:t>
            </w:r>
          </w:p>
        </w:tc>
        <w:tc>
          <w:tcPr>
            <w:tcW w:w="1755" w:type="dxa"/>
          </w:tcPr>
          <w:p w:rsidR="00FE5039" w:rsidRPr="00F56935" w:rsidRDefault="00FE5039" w:rsidP="00B03CC0">
            <w:pPr>
              <w:spacing w:line="259" w:lineRule="auto"/>
              <w:ind w:right="50"/>
              <w:jc w:val="right"/>
              <w:cnfStyle w:val="000000100000" w:firstRow="0" w:lastRow="0" w:firstColumn="0" w:lastColumn="0" w:oddVBand="0" w:evenVBand="0" w:oddHBand="1" w:evenHBand="0" w:firstRowFirstColumn="0" w:firstRowLastColumn="0" w:lastRowFirstColumn="0" w:lastRowLastColumn="0"/>
              <w:rPr>
                <w:b/>
                <w:lang w:val="sr-Cyrl-RS"/>
              </w:rPr>
            </w:pPr>
            <w:r>
              <w:rPr>
                <w:b/>
                <w:lang w:val="sr-Cyrl-RS"/>
              </w:rPr>
              <w:t xml:space="preserve"> 739</w:t>
            </w:r>
          </w:p>
        </w:tc>
        <w:tc>
          <w:tcPr>
            <w:tcW w:w="1580" w:type="dxa"/>
          </w:tcPr>
          <w:p w:rsidR="00FE5039" w:rsidRPr="00F56935" w:rsidRDefault="00FE5039" w:rsidP="002F1EC5">
            <w:pPr>
              <w:spacing w:line="259" w:lineRule="auto"/>
              <w:ind w:right="48"/>
              <w:jc w:val="right"/>
              <w:cnfStyle w:val="000000100000" w:firstRow="0" w:lastRow="0" w:firstColumn="0" w:lastColumn="0" w:oddVBand="0" w:evenVBand="0" w:oddHBand="1" w:evenHBand="0" w:firstRowFirstColumn="0" w:firstRowLastColumn="0" w:lastRowFirstColumn="0" w:lastRowLastColumn="0"/>
              <w:rPr>
                <w:b/>
                <w:lang w:val="sr-Cyrl-RS"/>
              </w:rPr>
            </w:pPr>
            <w:r>
              <w:rPr>
                <w:b/>
                <w:lang w:val="sr-Cyrl-RS"/>
              </w:rPr>
              <w:t>28</w:t>
            </w:r>
          </w:p>
        </w:tc>
        <w:tc>
          <w:tcPr>
            <w:tcW w:w="1742" w:type="dxa"/>
          </w:tcPr>
          <w:p w:rsidR="00FE5039" w:rsidRPr="00F56935" w:rsidRDefault="00FE5039" w:rsidP="002F1EC5">
            <w:pPr>
              <w:spacing w:line="259" w:lineRule="auto"/>
              <w:ind w:right="47"/>
              <w:jc w:val="right"/>
              <w:cnfStyle w:val="000000100000" w:firstRow="0" w:lastRow="0" w:firstColumn="0" w:lastColumn="0" w:oddVBand="0" w:evenVBand="0" w:oddHBand="1" w:evenHBand="0" w:firstRowFirstColumn="0" w:firstRowLastColumn="0" w:lastRowFirstColumn="0" w:lastRowLastColumn="0"/>
              <w:rPr>
                <w:b/>
                <w:lang w:val="sr-Cyrl-RS"/>
              </w:rPr>
            </w:pPr>
            <w:r>
              <w:rPr>
                <w:b/>
                <w:lang w:val="sr-Cyrl-RS"/>
              </w:rPr>
              <w:t>114</w:t>
            </w:r>
          </w:p>
        </w:tc>
        <w:tc>
          <w:tcPr>
            <w:tcW w:w="2180" w:type="dxa"/>
          </w:tcPr>
          <w:p w:rsidR="00FE5039" w:rsidRPr="00F56935" w:rsidRDefault="00FE5039" w:rsidP="00B03CC0">
            <w:pPr>
              <w:spacing w:line="259" w:lineRule="auto"/>
              <w:ind w:right="46"/>
              <w:jc w:val="right"/>
              <w:cnfStyle w:val="000000100000" w:firstRow="0" w:lastRow="0" w:firstColumn="0" w:lastColumn="0" w:oddVBand="0" w:evenVBand="0" w:oddHBand="1" w:evenHBand="0" w:firstRowFirstColumn="0" w:firstRowLastColumn="0" w:lastRowFirstColumn="0" w:lastRowLastColumn="0"/>
              <w:rPr>
                <w:b/>
                <w:lang w:val="sr-Cyrl-RS"/>
              </w:rPr>
            </w:pPr>
            <w:r>
              <w:rPr>
                <w:b/>
                <w:lang w:val="sr-Cyrl-RS"/>
              </w:rPr>
              <w:t>15,4</w:t>
            </w:r>
          </w:p>
        </w:tc>
      </w:tr>
    </w:tbl>
    <w:p w:rsidR="00FE5039" w:rsidRDefault="00FE5039" w:rsidP="00B03CC0">
      <w:bookmarkStart w:id="35" w:name="_Toc389134534"/>
    </w:p>
    <w:p w:rsidR="00802DA7" w:rsidRPr="009254FB" w:rsidRDefault="00802DA7" w:rsidP="00BD1967">
      <w:pPr>
        <w:rPr>
          <w:b/>
          <w:sz w:val="22"/>
          <w:szCs w:val="22"/>
          <w:lang w:val="sr-Cyrl-RS"/>
        </w:rPr>
      </w:pPr>
      <w:r w:rsidRPr="009254FB">
        <w:rPr>
          <w:b/>
          <w:sz w:val="22"/>
          <w:szCs w:val="22"/>
          <w:lang w:val="sr-Cyrl-RS"/>
        </w:rPr>
        <w:t>Хидричне епидемије</w:t>
      </w:r>
    </w:p>
    <w:p w:rsidR="00BD1967" w:rsidRPr="00171B5D" w:rsidRDefault="00BD1967" w:rsidP="00BD1967">
      <w:pPr>
        <w:rPr>
          <w:lang w:val="sr-Cyrl-RS"/>
        </w:rPr>
      </w:pPr>
      <w:r w:rsidRPr="00171B5D">
        <w:t xml:space="preserve">У посматраном периоду на територији АП Војводини </w:t>
      </w:r>
      <w:r w:rsidRPr="00171B5D">
        <w:rPr>
          <w:lang w:val="sr-Cyrl-RS"/>
        </w:rPr>
        <w:t xml:space="preserve">је </w:t>
      </w:r>
      <w:r w:rsidRPr="00171B5D">
        <w:t>регистрована само једна хидрична епидемија 2009</w:t>
      </w:r>
      <w:r w:rsidRPr="00171B5D">
        <w:rPr>
          <w:lang w:val="sr-Cyrl-RS"/>
        </w:rPr>
        <w:t xml:space="preserve"> године у</w:t>
      </w:r>
      <w:r w:rsidRPr="00171B5D">
        <w:t xml:space="preserve"> општини Бечеј са 69 оболелих</w:t>
      </w:r>
      <w:r w:rsidRPr="00171B5D">
        <w:rPr>
          <w:lang w:val="sr-Cyrl-RS"/>
        </w:rPr>
        <w:t xml:space="preserve"> особа</w:t>
      </w:r>
      <w:r w:rsidRPr="00171B5D">
        <w:t xml:space="preserve"> која је</w:t>
      </w:r>
      <w:r w:rsidRPr="00171B5D">
        <w:rPr>
          <w:lang w:val="sr-Cyrl-RS"/>
        </w:rPr>
        <w:t xml:space="preserve"> настала коришћењем </w:t>
      </w:r>
      <w:r w:rsidR="00A35BAF">
        <w:rPr>
          <w:lang w:val="sr-Cyrl-RS"/>
        </w:rPr>
        <w:t xml:space="preserve">микробиолошки неисправне </w:t>
      </w:r>
      <w:r w:rsidRPr="00171B5D">
        <w:rPr>
          <w:lang w:val="sr-Cyrl-RS"/>
        </w:rPr>
        <w:t>водоводске воде за пиће</w:t>
      </w:r>
      <w:r w:rsidR="00A35BAF">
        <w:rPr>
          <w:lang w:val="sr-Cyrl-RS"/>
        </w:rPr>
        <w:t>. Мањи број оболелих у овој епидемији се заразио накнадно  контактним путем</w:t>
      </w:r>
      <w:r w:rsidRPr="00171B5D">
        <w:t>.</w:t>
      </w:r>
      <w:r w:rsidR="00171B5D">
        <w:rPr>
          <w:lang w:val="sr-Cyrl-RS"/>
        </w:rPr>
        <w:t xml:space="preserve"> </w:t>
      </w:r>
      <w:r w:rsidR="00A35BAF">
        <w:rPr>
          <w:lang w:val="sr-Cyrl-RS"/>
        </w:rPr>
        <w:t xml:space="preserve"> </w:t>
      </w:r>
    </w:p>
    <w:p w:rsidR="00015B9F" w:rsidRPr="009254FB" w:rsidRDefault="00BD1967" w:rsidP="00015B9F">
      <w:pPr>
        <w:rPr>
          <w:b/>
          <w:sz w:val="22"/>
          <w:szCs w:val="22"/>
          <w:lang w:val="sr-Cyrl-RS"/>
        </w:rPr>
      </w:pPr>
      <w:r w:rsidRPr="009254FB">
        <w:rPr>
          <w:b/>
          <w:sz w:val="22"/>
          <w:szCs w:val="22"/>
          <w:lang w:val="sr-Cyrl-RS"/>
        </w:rPr>
        <w:t>Епидемије зооноза и векторских заразних болести</w:t>
      </w:r>
      <w:bookmarkEnd w:id="35"/>
    </w:p>
    <w:p w:rsidR="00D37C41" w:rsidRPr="00D37C41" w:rsidRDefault="00D37C41" w:rsidP="00D37C41">
      <w:pPr>
        <w:rPr>
          <w:rFonts w:asciiTheme="majorHAnsi" w:hAnsiTheme="majorHAnsi" w:cs="Arial"/>
          <w:szCs w:val="20"/>
          <w:lang w:val="ru-RU"/>
        </w:rPr>
      </w:pPr>
      <w:r w:rsidRPr="00D37C41">
        <w:rPr>
          <w:rFonts w:asciiTheme="majorHAnsi" w:hAnsiTheme="majorHAnsi" w:cs="Arial"/>
          <w:szCs w:val="20"/>
          <w:lang w:val="ru-RU"/>
        </w:rPr>
        <w:t xml:space="preserve">Болести које се преносе посредством вектора, најчешће инсеката и крпеља, представљају групу бројних, разнородних болести од којих су у Војводини распрострањена жаришта лајмске болести, а од 2012. године, као аутохтона векторска болест је препозната и грозница западног Нила. Међутим, у Покрајини се повремено региструју и импортовани случајеви  других векторских болести (маларија, лајшманијаза, денга грозница). </w:t>
      </w:r>
    </w:p>
    <w:p w:rsidR="00D37C41" w:rsidRDefault="00D37C41" w:rsidP="00015B9F">
      <w:pPr>
        <w:rPr>
          <w:lang w:val="sr-Cyrl-RS"/>
        </w:rPr>
      </w:pPr>
      <w:r w:rsidRPr="00D37C41">
        <w:rPr>
          <w:rFonts w:asciiTheme="majorHAnsi" w:hAnsiTheme="majorHAnsi" w:cs="Arial"/>
          <w:szCs w:val="20"/>
          <w:lang w:val="sr-Latn-CS"/>
        </w:rPr>
        <w:t>Глобалне климатске промене, које утичу и на географску дистрибуцију и бројност вектора</w:t>
      </w:r>
      <w:r w:rsidRPr="00D37C41">
        <w:rPr>
          <w:rFonts w:asciiTheme="majorHAnsi" w:hAnsiTheme="majorHAnsi" w:cs="Arial"/>
          <w:szCs w:val="20"/>
          <w:lang w:val="sr-Cyrl-CS"/>
        </w:rPr>
        <w:t>,</w:t>
      </w:r>
      <w:r w:rsidRPr="00D37C41">
        <w:rPr>
          <w:rFonts w:asciiTheme="majorHAnsi" w:hAnsiTheme="majorHAnsi" w:cs="Arial"/>
          <w:szCs w:val="20"/>
          <w:lang w:val="sr-Latn-CS"/>
        </w:rPr>
        <w:t xml:space="preserve"> могу имати негативан утицај и на учесталост и дистрибуцију болести које они преносе</w:t>
      </w:r>
      <w:r w:rsidRPr="00D37C41">
        <w:rPr>
          <w:rFonts w:asciiTheme="majorHAnsi" w:hAnsiTheme="majorHAnsi"/>
          <w:szCs w:val="20"/>
          <w:lang w:val="sr-Cyrl-RS"/>
        </w:rPr>
        <w:t xml:space="preserve"> </w:t>
      </w:r>
    </w:p>
    <w:p w:rsidR="00BD1967" w:rsidRPr="00BD1967" w:rsidRDefault="00BD1967" w:rsidP="00015B9F">
      <w:pPr>
        <w:rPr>
          <w:lang w:val="sr-Cyrl-RS"/>
        </w:rPr>
      </w:pPr>
      <w:r>
        <w:rPr>
          <w:lang w:val="sr-Cyrl-RS"/>
        </w:rPr>
        <w:t xml:space="preserve">Из групе векторских заразних болести и болести зоонозног порекла издвајамо </w:t>
      </w:r>
      <w:r>
        <w:t xml:space="preserve">West Nile febris </w:t>
      </w:r>
      <w:r>
        <w:rPr>
          <w:lang w:val="sr-Cyrl-RS"/>
        </w:rPr>
        <w:t>и трихинелоза због њиховог епидемијског потенцијала.</w:t>
      </w:r>
    </w:p>
    <w:p w:rsidR="00015B9F" w:rsidRPr="009254FB" w:rsidRDefault="00015B9F" w:rsidP="00015B9F">
      <w:pPr>
        <w:pStyle w:val="Heading2"/>
        <w:rPr>
          <w:rFonts w:ascii="Century Gothic" w:hAnsi="Century Gothic"/>
          <w:b/>
          <w:sz w:val="22"/>
          <w:szCs w:val="22"/>
          <w:lang w:val="sr-Cyrl-RS" w:eastAsia="sr-Latn-RS"/>
        </w:rPr>
      </w:pPr>
      <w:bookmarkStart w:id="36" w:name="_Toc389134483"/>
      <w:bookmarkStart w:id="37" w:name="_Toc515520349"/>
      <w:bookmarkStart w:id="38" w:name="_Toc515524191"/>
      <w:r w:rsidRPr="009254FB">
        <w:rPr>
          <w:rFonts w:ascii="Century Gothic" w:hAnsi="Century Gothic"/>
          <w:b/>
          <w:sz w:val="22"/>
          <w:szCs w:val="22"/>
          <w:lang w:val="sr-Cyrl-RS" w:eastAsia="sr-Latn-RS"/>
        </w:rPr>
        <w:t>West-Nile</w:t>
      </w:r>
      <w:bookmarkEnd w:id="36"/>
      <w:r w:rsidRPr="009254FB">
        <w:rPr>
          <w:rFonts w:ascii="Century Gothic" w:hAnsi="Century Gothic"/>
          <w:b/>
          <w:sz w:val="22"/>
          <w:szCs w:val="22"/>
          <w:lang w:val="sr-Cyrl-RS" w:eastAsia="sr-Latn-RS"/>
        </w:rPr>
        <w:t xml:space="preserve"> febris</w:t>
      </w:r>
      <w:bookmarkEnd w:id="37"/>
      <w:bookmarkEnd w:id="38"/>
    </w:p>
    <w:p w:rsidR="00015B9F" w:rsidRPr="00BD1967" w:rsidRDefault="00015B9F" w:rsidP="00016E48">
      <w:pPr>
        <w:spacing w:after="52"/>
        <w:ind w:right="56"/>
      </w:pPr>
      <w:r w:rsidRPr="00016E48">
        <w:t xml:space="preserve">Када су у нашој земљи 2012. године дијагностиковани аутохтони случајеви грознице западног Нила, ово обољење према важећим законским прописима није подлегало обавезном пријављивању. Појава хуманих случајева грознице западног Нила према Међународном зравственом правилнику представља догађај који може да има озбиљне последице по јавно здравље и има потенцијал да се шири интернационално. Због тога је 2012. године уведен надзор над овим обољењем и у нашој земљи, а спроводио се по </w:t>
      </w:r>
      <w:r w:rsidRPr="00016E48">
        <w:lastRenderedPageBreak/>
        <w:t>Стручно методолошком упутству Инс</w:t>
      </w:r>
      <w:r w:rsidR="00BD1967" w:rsidRPr="00016E48">
        <w:t>титута за јавно здравље Србије.</w:t>
      </w:r>
      <w:r w:rsidRPr="00016E48">
        <w:rPr>
          <w:rFonts w:ascii="Century Gothic" w:hAnsi="Century Gothic"/>
          <w:szCs w:val="20"/>
        </w:rPr>
        <w:t>Значајан пораст оболелих и умрлих од грознице западног Нила је реги</w:t>
      </w:r>
      <w:r w:rsidR="00016E48">
        <w:rPr>
          <w:rFonts w:ascii="Century Gothic" w:hAnsi="Century Gothic"/>
          <w:szCs w:val="20"/>
        </w:rPr>
        <w:t>строван 2013. године (табела 14</w:t>
      </w:r>
      <w:r w:rsidRPr="00016E48">
        <w:rPr>
          <w:rFonts w:ascii="Century Gothic" w:hAnsi="Century Gothic"/>
          <w:szCs w:val="20"/>
        </w:rPr>
        <w:t>).</w:t>
      </w:r>
      <w:r w:rsidRPr="00EC2EF6">
        <w:rPr>
          <w:rFonts w:ascii="Century Gothic" w:hAnsi="Century Gothic"/>
          <w:szCs w:val="20"/>
        </w:rPr>
        <w:t xml:space="preserve"> </w:t>
      </w:r>
    </w:p>
    <w:p w:rsidR="00015B9F" w:rsidRPr="00D24AC5" w:rsidRDefault="00016E48" w:rsidP="00015B9F">
      <w:pPr>
        <w:spacing w:before="120" w:after="0" w:line="240" w:lineRule="auto"/>
        <w:rPr>
          <w:rFonts w:ascii="Calibri" w:hAnsi="Calibri"/>
          <w:b/>
          <w:bCs/>
          <w:smallCaps/>
          <w:color w:val="3494BA" w:themeColor="accent1"/>
          <w:spacing w:val="6"/>
        </w:rPr>
      </w:pPr>
      <w:r>
        <w:rPr>
          <w:rFonts w:ascii="Calibri" w:hAnsi="Calibri"/>
          <w:b/>
          <w:bCs/>
          <w:smallCaps/>
          <w:color w:val="3494BA" w:themeColor="accent1"/>
          <w:spacing w:val="6"/>
        </w:rPr>
        <w:t>Табела 14</w:t>
      </w:r>
      <w:r w:rsidR="00015B9F" w:rsidRPr="00D24AC5">
        <w:rPr>
          <w:rFonts w:ascii="Calibri" w:hAnsi="Calibri"/>
          <w:b/>
          <w:bCs/>
          <w:smallCaps/>
          <w:color w:val="3494BA" w:themeColor="accent1"/>
          <w:spacing w:val="6"/>
        </w:rPr>
        <w:t xml:space="preserve">. West-Nile febris у АП Војводини у периоду од 2012. до 2017. године </w:t>
      </w:r>
    </w:p>
    <w:tbl>
      <w:tblPr>
        <w:tblStyle w:val="PlainTable51"/>
        <w:tblW w:w="6439" w:type="dxa"/>
        <w:jc w:val="center"/>
        <w:tblLook w:val="04A0" w:firstRow="1" w:lastRow="0" w:firstColumn="1" w:lastColumn="0" w:noHBand="0" w:noVBand="1"/>
      </w:tblPr>
      <w:tblGrid>
        <w:gridCol w:w="1921"/>
        <w:gridCol w:w="766"/>
        <w:gridCol w:w="766"/>
        <w:gridCol w:w="766"/>
        <w:gridCol w:w="740"/>
        <w:gridCol w:w="740"/>
        <w:gridCol w:w="740"/>
      </w:tblGrid>
      <w:tr w:rsidR="00015B9F" w:rsidRPr="0006502F" w:rsidTr="00015B9F">
        <w:trPr>
          <w:cnfStyle w:val="100000000000" w:firstRow="1" w:lastRow="0" w:firstColumn="0" w:lastColumn="0" w:oddVBand="0" w:evenVBand="0" w:oddHBand="0" w:evenHBand="0" w:firstRowFirstColumn="0" w:firstRowLastColumn="0" w:lastRowFirstColumn="0" w:lastRowLastColumn="0"/>
          <w:trHeight w:val="270"/>
          <w:jc w:val="center"/>
        </w:trPr>
        <w:tc>
          <w:tcPr>
            <w:cnfStyle w:val="001000000100" w:firstRow="0" w:lastRow="0" w:firstColumn="1" w:lastColumn="0" w:oddVBand="0" w:evenVBand="0" w:oddHBand="0" w:evenHBand="0" w:firstRowFirstColumn="1" w:firstRowLastColumn="0" w:lastRowFirstColumn="0" w:lastRowLastColumn="0"/>
            <w:tcW w:w="1921" w:type="dxa"/>
          </w:tcPr>
          <w:p w:rsidR="00015B9F" w:rsidRPr="0032085E" w:rsidRDefault="00015B9F" w:rsidP="00015B9F">
            <w:pPr>
              <w:spacing w:line="259" w:lineRule="auto"/>
              <w:jc w:val="right"/>
              <w:rPr>
                <w:i w:val="0"/>
              </w:rPr>
            </w:pPr>
            <w:r w:rsidRPr="0032085E">
              <w:rPr>
                <w:i w:val="0"/>
                <w:color w:val="FFFFFF"/>
              </w:rPr>
              <w:t xml:space="preserve"> </w:t>
            </w:r>
          </w:p>
        </w:tc>
        <w:tc>
          <w:tcPr>
            <w:tcW w:w="766" w:type="dxa"/>
          </w:tcPr>
          <w:p w:rsidR="00015B9F" w:rsidRPr="0006502F" w:rsidRDefault="00015B9F" w:rsidP="00015B9F">
            <w:pPr>
              <w:spacing w:line="259" w:lineRule="auto"/>
              <w:ind w:left="49"/>
              <w:jc w:val="right"/>
              <w:cnfStyle w:val="100000000000" w:firstRow="1" w:lastRow="0" w:firstColumn="0" w:lastColumn="0" w:oddVBand="0" w:evenVBand="0" w:oddHBand="0" w:evenHBand="0" w:firstRowFirstColumn="0" w:firstRowLastColumn="0" w:lastRowFirstColumn="0" w:lastRowLastColumn="0"/>
              <w:rPr>
                <w:i w:val="0"/>
              </w:rPr>
            </w:pPr>
            <w:r w:rsidRPr="0006502F">
              <w:rPr>
                <w:i w:val="0"/>
                <w:color w:val="FFFFFF"/>
              </w:rPr>
              <w:t xml:space="preserve">2012 </w:t>
            </w:r>
          </w:p>
        </w:tc>
        <w:tc>
          <w:tcPr>
            <w:tcW w:w="766" w:type="dxa"/>
          </w:tcPr>
          <w:p w:rsidR="00015B9F" w:rsidRPr="0006502F" w:rsidRDefault="00015B9F" w:rsidP="00015B9F">
            <w:pPr>
              <w:spacing w:line="259" w:lineRule="auto"/>
              <w:ind w:left="49"/>
              <w:jc w:val="right"/>
              <w:cnfStyle w:val="100000000000" w:firstRow="1" w:lastRow="0" w:firstColumn="0" w:lastColumn="0" w:oddVBand="0" w:evenVBand="0" w:oddHBand="0" w:evenHBand="0" w:firstRowFirstColumn="0" w:firstRowLastColumn="0" w:lastRowFirstColumn="0" w:lastRowLastColumn="0"/>
              <w:rPr>
                <w:i w:val="0"/>
              </w:rPr>
            </w:pPr>
            <w:r w:rsidRPr="0006502F">
              <w:rPr>
                <w:i w:val="0"/>
                <w:color w:val="FFFFFF"/>
              </w:rPr>
              <w:t xml:space="preserve">2013 </w:t>
            </w:r>
          </w:p>
        </w:tc>
        <w:tc>
          <w:tcPr>
            <w:tcW w:w="766" w:type="dxa"/>
          </w:tcPr>
          <w:p w:rsidR="00015B9F" w:rsidRPr="0006502F" w:rsidRDefault="00015B9F" w:rsidP="00015B9F">
            <w:pPr>
              <w:spacing w:line="259" w:lineRule="auto"/>
              <w:ind w:left="49"/>
              <w:jc w:val="right"/>
              <w:cnfStyle w:val="100000000000" w:firstRow="1" w:lastRow="0" w:firstColumn="0" w:lastColumn="0" w:oddVBand="0" w:evenVBand="0" w:oddHBand="0" w:evenHBand="0" w:firstRowFirstColumn="0" w:firstRowLastColumn="0" w:lastRowFirstColumn="0" w:lastRowLastColumn="0"/>
              <w:rPr>
                <w:i w:val="0"/>
                <w:color w:val="FFFFFF"/>
              </w:rPr>
            </w:pPr>
            <w:r>
              <w:rPr>
                <w:i w:val="0"/>
                <w:color w:val="FFFFFF"/>
              </w:rPr>
              <w:t>2014</w:t>
            </w:r>
          </w:p>
        </w:tc>
        <w:tc>
          <w:tcPr>
            <w:tcW w:w="740" w:type="dxa"/>
          </w:tcPr>
          <w:p w:rsidR="00015B9F" w:rsidRDefault="00015B9F" w:rsidP="00015B9F">
            <w:pPr>
              <w:spacing w:line="259" w:lineRule="auto"/>
              <w:ind w:left="49"/>
              <w:jc w:val="right"/>
              <w:cnfStyle w:val="100000000000" w:firstRow="1" w:lastRow="0" w:firstColumn="0" w:lastColumn="0" w:oddVBand="0" w:evenVBand="0" w:oddHBand="0" w:evenHBand="0" w:firstRowFirstColumn="0" w:firstRowLastColumn="0" w:lastRowFirstColumn="0" w:lastRowLastColumn="0"/>
              <w:rPr>
                <w:i w:val="0"/>
                <w:color w:val="FFFFFF"/>
              </w:rPr>
            </w:pPr>
            <w:r>
              <w:rPr>
                <w:i w:val="0"/>
                <w:color w:val="FFFFFF"/>
              </w:rPr>
              <w:t>2015</w:t>
            </w:r>
          </w:p>
        </w:tc>
        <w:tc>
          <w:tcPr>
            <w:tcW w:w="740" w:type="dxa"/>
          </w:tcPr>
          <w:p w:rsidR="00015B9F" w:rsidRDefault="00015B9F" w:rsidP="00015B9F">
            <w:pPr>
              <w:spacing w:line="259" w:lineRule="auto"/>
              <w:ind w:left="49"/>
              <w:jc w:val="right"/>
              <w:cnfStyle w:val="100000000000" w:firstRow="1" w:lastRow="0" w:firstColumn="0" w:lastColumn="0" w:oddVBand="0" w:evenVBand="0" w:oddHBand="0" w:evenHBand="0" w:firstRowFirstColumn="0" w:firstRowLastColumn="0" w:lastRowFirstColumn="0" w:lastRowLastColumn="0"/>
              <w:rPr>
                <w:color w:val="FFFFFF"/>
              </w:rPr>
            </w:pPr>
            <w:r>
              <w:rPr>
                <w:color w:val="FFFFFF"/>
              </w:rPr>
              <w:t>2016</w:t>
            </w:r>
          </w:p>
        </w:tc>
        <w:tc>
          <w:tcPr>
            <w:tcW w:w="740" w:type="dxa"/>
          </w:tcPr>
          <w:p w:rsidR="00015B9F" w:rsidRPr="00604D4B" w:rsidRDefault="00015B9F" w:rsidP="00015B9F">
            <w:pPr>
              <w:spacing w:line="259" w:lineRule="auto"/>
              <w:ind w:left="49"/>
              <w:jc w:val="right"/>
              <w:cnfStyle w:val="100000000000" w:firstRow="1" w:lastRow="0" w:firstColumn="0" w:lastColumn="0" w:oddVBand="0" w:evenVBand="0" w:oddHBand="0" w:evenHBand="0" w:firstRowFirstColumn="0" w:firstRowLastColumn="0" w:lastRowFirstColumn="0" w:lastRowLastColumn="0"/>
              <w:rPr>
                <w:color w:val="FFFFFF"/>
              </w:rPr>
            </w:pPr>
            <w:r>
              <w:rPr>
                <w:color w:val="FFFFFF"/>
              </w:rPr>
              <w:t>2017</w:t>
            </w:r>
          </w:p>
        </w:tc>
      </w:tr>
      <w:tr w:rsidR="00015B9F" w:rsidRPr="0006502F" w:rsidTr="00015B9F">
        <w:trPr>
          <w:cnfStyle w:val="000000100000" w:firstRow="0" w:lastRow="0" w:firstColumn="0" w:lastColumn="0" w:oddVBand="0" w:evenVBand="0" w:oddHBand="1"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1921" w:type="dxa"/>
          </w:tcPr>
          <w:p w:rsidR="00015B9F" w:rsidRPr="0006502F" w:rsidRDefault="00015B9F" w:rsidP="00015B9F">
            <w:pPr>
              <w:spacing w:line="259" w:lineRule="auto"/>
              <w:jc w:val="left"/>
              <w:rPr>
                <w:i w:val="0"/>
              </w:rPr>
            </w:pPr>
            <w:r w:rsidRPr="0006502F">
              <w:rPr>
                <w:i w:val="0"/>
              </w:rPr>
              <w:t xml:space="preserve">Број оболелих </w:t>
            </w:r>
          </w:p>
        </w:tc>
        <w:tc>
          <w:tcPr>
            <w:tcW w:w="766" w:type="dxa"/>
          </w:tcPr>
          <w:p w:rsidR="00015B9F" w:rsidRPr="0006502F" w:rsidRDefault="00015B9F" w:rsidP="00015B9F">
            <w:pPr>
              <w:spacing w:line="259" w:lineRule="auto"/>
              <w:ind w:left="49"/>
              <w:jc w:val="right"/>
              <w:cnfStyle w:val="000000100000" w:firstRow="0" w:lastRow="0" w:firstColumn="0" w:lastColumn="0" w:oddVBand="0" w:evenVBand="0" w:oddHBand="1" w:evenHBand="0" w:firstRowFirstColumn="0" w:firstRowLastColumn="0" w:lastRowFirstColumn="0" w:lastRowLastColumn="0"/>
            </w:pPr>
            <w:r>
              <w:t>16</w:t>
            </w:r>
          </w:p>
        </w:tc>
        <w:tc>
          <w:tcPr>
            <w:tcW w:w="766" w:type="dxa"/>
          </w:tcPr>
          <w:p w:rsidR="00015B9F" w:rsidRPr="0006502F" w:rsidRDefault="00015B9F" w:rsidP="00015B9F">
            <w:pPr>
              <w:spacing w:line="259" w:lineRule="auto"/>
              <w:ind w:left="49"/>
              <w:jc w:val="right"/>
              <w:cnfStyle w:val="000000100000" w:firstRow="0" w:lastRow="0" w:firstColumn="0" w:lastColumn="0" w:oddVBand="0" w:evenVBand="0" w:oddHBand="1" w:evenHBand="0" w:firstRowFirstColumn="0" w:firstRowLastColumn="0" w:lastRowFirstColumn="0" w:lastRowLastColumn="0"/>
            </w:pPr>
            <w:r>
              <w:t>90</w:t>
            </w:r>
          </w:p>
        </w:tc>
        <w:tc>
          <w:tcPr>
            <w:tcW w:w="766" w:type="dxa"/>
          </w:tcPr>
          <w:p w:rsidR="00015B9F" w:rsidRPr="0006502F" w:rsidRDefault="00015B9F" w:rsidP="00015B9F">
            <w:pPr>
              <w:spacing w:line="259" w:lineRule="auto"/>
              <w:ind w:left="49"/>
              <w:jc w:val="right"/>
              <w:cnfStyle w:val="000000100000" w:firstRow="0" w:lastRow="0" w:firstColumn="0" w:lastColumn="0" w:oddVBand="0" w:evenVBand="0" w:oddHBand="1" w:evenHBand="0" w:firstRowFirstColumn="0" w:firstRowLastColumn="0" w:lastRowFirstColumn="0" w:lastRowLastColumn="0"/>
            </w:pPr>
            <w:r>
              <w:t>23</w:t>
            </w:r>
          </w:p>
        </w:tc>
        <w:tc>
          <w:tcPr>
            <w:tcW w:w="740" w:type="dxa"/>
          </w:tcPr>
          <w:p w:rsidR="00015B9F" w:rsidRDefault="00015B9F" w:rsidP="00015B9F">
            <w:pPr>
              <w:spacing w:line="259" w:lineRule="auto"/>
              <w:ind w:left="49"/>
              <w:jc w:val="right"/>
              <w:cnfStyle w:val="000000100000" w:firstRow="0" w:lastRow="0" w:firstColumn="0" w:lastColumn="0" w:oddVBand="0" w:evenVBand="0" w:oddHBand="1" w:evenHBand="0" w:firstRowFirstColumn="0" w:firstRowLastColumn="0" w:lastRowFirstColumn="0" w:lastRowLastColumn="0"/>
            </w:pPr>
            <w:r>
              <w:t>9</w:t>
            </w:r>
          </w:p>
        </w:tc>
        <w:tc>
          <w:tcPr>
            <w:tcW w:w="740" w:type="dxa"/>
          </w:tcPr>
          <w:p w:rsidR="00015B9F" w:rsidRDefault="00015B9F" w:rsidP="00015B9F">
            <w:pPr>
              <w:spacing w:line="259" w:lineRule="auto"/>
              <w:ind w:left="49"/>
              <w:jc w:val="right"/>
              <w:cnfStyle w:val="000000100000" w:firstRow="0" w:lastRow="0" w:firstColumn="0" w:lastColumn="0" w:oddVBand="0" w:evenVBand="0" w:oddHBand="1" w:evenHBand="0" w:firstRowFirstColumn="0" w:firstRowLastColumn="0" w:lastRowFirstColumn="0" w:lastRowLastColumn="0"/>
            </w:pPr>
            <w:r>
              <w:t>14</w:t>
            </w:r>
          </w:p>
        </w:tc>
        <w:tc>
          <w:tcPr>
            <w:tcW w:w="740" w:type="dxa"/>
          </w:tcPr>
          <w:p w:rsidR="00015B9F" w:rsidRPr="00604D4B" w:rsidRDefault="00015B9F" w:rsidP="00015B9F">
            <w:pPr>
              <w:spacing w:line="259" w:lineRule="auto"/>
              <w:ind w:left="49"/>
              <w:jc w:val="right"/>
              <w:cnfStyle w:val="000000100000" w:firstRow="0" w:lastRow="0" w:firstColumn="0" w:lastColumn="0" w:oddVBand="0" w:evenVBand="0" w:oddHBand="1" w:evenHBand="0" w:firstRowFirstColumn="0" w:firstRowLastColumn="0" w:lastRowFirstColumn="0" w:lastRowLastColumn="0"/>
            </w:pPr>
            <w:r>
              <w:t>9</w:t>
            </w:r>
          </w:p>
        </w:tc>
      </w:tr>
      <w:tr w:rsidR="00015B9F" w:rsidRPr="00CB71FB" w:rsidTr="00015B9F">
        <w:trPr>
          <w:cnfStyle w:val="000000010000" w:firstRow="0" w:lastRow="0" w:firstColumn="0" w:lastColumn="0" w:oddVBand="0" w:evenVBand="0" w:oddHBand="0" w:evenHBand="1"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921" w:type="dxa"/>
          </w:tcPr>
          <w:p w:rsidR="00015B9F" w:rsidRPr="0006502F" w:rsidRDefault="00015B9F" w:rsidP="00015B9F">
            <w:pPr>
              <w:spacing w:line="259" w:lineRule="auto"/>
              <w:jc w:val="left"/>
              <w:rPr>
                <w:i w:val="0"/>
              </w:rPr>
            </w:pPr>
            <w:r w:rsidRPr="0006502F">
              <w:rPr>
                <w:i w:val="0"/>
              </w:rPr>
              <w:t xml:space="preserve">Инциденција </w:t>
            </w:r>
          </w:p>
        </w:tc>
        <w:tc>
          <w:tcPr>
            <w:tcW w:w="766" w:type="dxa"/>
          </w:tcPr>
          <w:p w:rsidR="00015B9F" w:rsidRPr="00CB71FB" w:rsidRDefault="00015B9F" w:rsidP="00015B9F">
            <w:pPr>
              <w:spacing w:line="259" w:lineRule="auto"/>
              <w:ind w:left="25"/>
              <w:jc w:val="right"/>
              <w:cnfStyle w:val="000000010000" w:firstRow="0" w:lastRow="0" w:firstColumn="0" w:lastColumn="0" w:oddVBand="0" w:evenVBand="0" w:oddHBand="0" w:evenHBand="1" w:firstRowFirstColumn="0" w:firstRowLastColumn="0" w:lastRowFirstColumn="0" w:lastRowLastColumn="0"/>
            </w:pPr>
            <w:r w:rsidRPr="00CB71FB">
              <w:t>0,8</w:t>
            </w:r>
          </w:p>
        </w:tc>
        <w:tc>
          <w:tcPr>
            <w:tcW w:w="766" w:type="dxa"/>
          </w:tcPr>
          <w:p w:rsidR="00015B9F" w:rsidRPr="00CB71FB" w:rsidRDefault="00015B9F" w:rsidP="00015B9F">
            <w:pPr>
              <w:spacing w:line="259" w:lineRule="auto"/>
              <w:ind w:left="25"/>
              <w:jc w:val="right"/>
              <w:cnfStyle w:val="000000010000" w:firstRow="0" w:lastRow="0" w:firstColumn="0" w:lastColumn="0" w:oddVBand="0" w:evenVBand="0" w:oddHBand="0" w:evenHBand="1" w:firstRowFirstColumn="0" w:firstRowLastColumn="0" w:lastRowFirstColumn="0" w:lastRowLastColumn="0"/>
            </w:pPr>
            <w:r w:rsidRPr="00CB71FB">
              <w:t>4,7</w:t>
            </w:r>
          </w:p>
        </w:tc>
        <w:tc>
          <w:tcPr>
            <w:tcW w:w="766" w:type="dxa"/>
          </w:tcPr>
          <w:p w:rsidR="00015B9F" w:rsidRPr="00CB71FB" w:rsidRDefault="00015B9F" w:rsidP="00015B9F">
            <w:pPr>
              <w:spacing w:line="259" w:lineRule="auto"/>
              <w:ind w:left="25"/>
              <w:jc w:val="right"/>
              <w:cnfStyle w:val="000000010000" w:firstRow="0" w:lastRow="0" w:firstColumn="0" w:lastColumn="0" w:oddVBand="0" w:evenVBand="0" w:oddHBand="0" w:evenHBand="1" w:firstRowFirstColumn="0" w:firstRowLastColumn="0" w:lastRowFirstColumn="0" w:lastRowLastColumn="0"/>
            </w:pPr>
            <w:r w:rsidRPr="00CB71FB">
              <w:t>1,2</w:t>
            </w:r>
          </w:p>
        </w:tc>
        <w:tc>
          <w:tcPr>
            <w:tcW w:w="740" w:type="dxa"/>
          </w:tcPr>
          <w:p w:rsidR="00015B9F" w:rsidRPr="00174712" w:rsidRDefault="00015B9F" w:rsidP="00015B9F">
            <w:pPr>
              <w:spacing w:line="259" w:lineRule="auto"/>
              <w:ind w:left="25"/>
              <w:jc w:val="right"/>
              <w:cnfStyle w:val="000000010000" w:firstRow="0" w:lastRow="0" w:firstColumn="0" w:lastColumn="0" w:oddVBand="0" w:evenVBand="0" w:oddHBand="0" w:evenHBand="1" w:firstRowFirstColumn="0" w:firstRowLastColumn="0" w:lastRowFirstColumn="0" w:lastRowLastColumn="0"/>
              <w:rPr>
                <w:lang w:val="sr-Cyrl-CS"/>
              </w:rPr>
            </w:pPr>
            <w:r w:rsidRPr="00CB71FB">
              <w:t>0,</w:t>
            </w:r>
            <w:r>
              <w:rPr>
                <w:lang w:val="sr-Cyrl-CS"/>
              </w:rPr>
              <w:t>4</w:t>
            </w:r>
          </w:p>
        </w:tc>
        <w:tc>
          <w:tcPr>
            <w:tcW w:w="740" w:type="dxa"/>
          </w:tcPr>
          <w:p w:rsidR="00015B9F" w:rsidRPr="00CB71FB" w:rsidRDefault="00015B9F" w:rsidP="00015B9F">
            <w:pPr>
              <w:spacing w:line="259" w:lineRule="auto"/>
              <w:ind w:left="25"/>
              <w:jc w:val="right"/>
              <w:cnfStyle w:val="000000010000" w:firstRow="0" w:lastRow="0" w:firstColumn="0" w:lastColumn="0" w:oddVBand="0" w:evenVBand="0" w:oddHBand="0" w:evenHBand="1" w:firstRowFirstColumn="0" w:firstRowLastColumn="0" w:lastRowFirstColumn="0" w:lastRowLastColumn="0"/>
            </w:pPr>
            <w:r>
              <w:t>0,7</w:t>
            </w:r>
          </w:p>
        </w:tc>
        <w:tc>
          <w:tcPr>
            <w:tcW w:w="740" w:type="dxa"/>
          </w:tcPr>
          <w:p w:rsidR="00015B9F" w:rsidRPr="00604D4B" w:rsidRDefault="00015B9F" w:rsidP="00015B9F">
            <w:pPr>
              <w:spacing w:line="259" w:lineRule="auto"/>
              <w:ind w:left="25"/>
              <w:jc w:val="right"/>
              <w:cnfStyle w:val="000000010000" w:firstRow="0" w:lastRow="0" w:firstColumn="0" w:lastColumn="0" w:oddVBand="0" w:evenVBand="0" w:oddHBand="0" w:evenHBand="1" w:firstRowFirstColumn="0" w:firstRowLastColumn="0" w:lastRowFirstColumn="0" w:lastRowLastColumn="0"/>
            </w:pPr>
            <w:r>
              <w:t>0,5</w:t>
            </w:r>
          </w:p>
        </w:tc>
      </w:tr>
      <w:tr w:rsidR="00015B9F" w:rsidRPr="00CB71FB" w:rsidTr="00015B9F">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1921" w:type="dxa"/>
          </w:tcPr>
          <w:p w:rsidR="00015B9F" w:rsidRPr="0006502F" w:rsidRDefault="00015B9F" w:rsidP="00015B9F">
            <w:pPr>
              <w:spacing w:line="259" w:lineRule="auto"/>
              <w:jc w:val="left"/>
              <w:rPr>
                <w:i w:val="0"/>
              </w:rPr>
            </w:pPr>
            <w:r w:rsidRPr="0006502F">
              <w:rPr>
                <w:i w:val="0"/>
              </w:rPr>
              <w:t xml:space="preserve">Број умрлих </w:t>
            </w:r>
          </w:p>
        </w:tc>
        <w:tc>
          <w:tcPr>
            <w:tcW w:w="766" w:type="dxa"/>
          </w:tcPr>
          <w:p w:rsidR="00015B9F" w:rsidRPr="00CB71FB" w:rsidRDefault="00015B9F" w:rsidP="00015B9F">
            <w:pPr>
              <w:spacing w:line="259" w:lineRule="auto"/>
              <w:ind w:right="21"/>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CB71FB">
              <w:rPr>
                <w:color w:val="000000" w:themeColor="text1"/>
              </w:rPr>
              <w:t xml:space="preserve">4 </w:t>
            </w:r>
          </w:p>
        </w:tc>
        <w:tc>
          <w:tcPr>
            <w:tcW w:w="766" w:type="dxa"/>
          </w:tcPr>
          <w:p w:rsidR="00015B9F" w:rsidRPr="00CB71FB" w:rsidRDefault="00015B9F" w:rsidP="00015B9F">
            <w:pPr>
              <w:spacing w:line="259" w:lineRule="auto"/>
              <w:ind w:right="21"/>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CB71FB">
              <w:rPr>
                <w:color w:val="000000" w:themeColor="text1"/>
              </w:rPr>
              <w:t xml:space="preserve">12 </w:t>
            </w:r>
          </w:p>
        </w:tc>
        <w:tc>
          <w:tcPr>
            <w:tcW w:w="766" w:type="dxa"/>
          </w:tcPr>
          <w:p w:rsidR="00015B9F" w:rsidRPr="00CB71FB" w:rsidRDefault="00015B9F" w:rsidP="00015B9F">
            <w:pPr>
              <w:spacing w:line="259" w:lineRule="auto"/>
              <w:ind w:right="21"/>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CB71FB">
              <w:rPr>
                <w:color w:val="000000" w:themeColor="text1"/>
              </w:rPr>
              <w:t>3</w:t>
            </w:r>
          </w:p>
        </w:tc>
        <w:tc>
          <w:tcPr>
            <w:tcW w:w="740" w:type="dxa"/>
          </w:tcPr>
          <w:p w:rsidR="00015B9F" w:rsidRPr="00CB71FB" w:rsidRDefault="00015B9F" w:rsidP="00015B9F">
            <w:pPr>
              <w:spacing w:line="259" w:lineRule="auto"/>
              <w:ind w:right="21"/>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CB71FB">
              <w:rPr>
                <w:color w:val="000000" w:themeColor="text1"/>
              </w:rPr>
              <w:t>1</w:t>
            </w:r>
          </w:p>
        </w:tc>
        <w:tc>
          <w:tcPr>
            <w:tcW w:w="740" w:type="dxa"/>
          </w:tcPr>
          <w:p w:rsidR="00015B9F" w:rsidRPr="005604F2" w:rsidRDefault="00015B9F" w:rsidP="00015B9F">
            <w:pPr>
              <w:spacing w:line="259" w:lineRule="auto"/>
              <w:ind w:right="21"/>
              <w:jc w:val="right"/>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1</w:t>
            </w:r>
          </w:p>
        </w:tc>
        <w:tc>
          <w:tcPr>
            <w:tcW w:w="740" w:type="dxa"/>
          </w:tcPr>
          <w:p w:rsidR="00015B9F" w:rsidRPr="00604D4B" w:rsidRDefault="00015B9F" w:rsidP="00015B9F">
            <w:pPr>
              <w:spacing w:line="259" w:lineRule="auto"/>
              <w:ind w:right="21"/>
              <w:jc w:val="right"/>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0</w:t>
            </w:r>
          </w:p>
        </w:tc>
      </w:tr>
      <w:tr w:rsidR="00015B9F" w:rsidRPr="00CB71FB" w:rsidTr="00015B9F">
        <w:trPr>
          <w:cnfStyle w:val="000000010000" w:firstRow="0" w:lastRow="0" w:firstColumn="0" w:lastColumn="0" w:oddVBand="0" w:evenVBand="0" w:oddHBand="0" w:evenHBand="1" w:firstRowFirstColumn="0" w:firstRowLastColumn="0" w:lastRowFirstColumn="0" w:lastRowLastColumn="0"/>
          <w:trHeight w:val="264"/>
          <w:jc w:val="center"/>
        </w:trPr>
        <w:tc>
          <w:tcPr>
            <w:cnfStyle w:val="001000000000" w:firstRow="0" w:lastRow="0" w:firstColumn="1" w:lastColumn="0" w:oddVBand="0" w:evenVBand="0" w:oddHBand="0" w:evenHBand="0" w:firstRowFirstColumn="0" w:firstRowLastColumn="0" w:lastRowFirstColumn="0" w:lastRowLastColumn="0"/>
            <w:tcW w:w="1921" w:type="dxa"/>
          </w:tcPr>
          <w:p w:rsidR="00015B9F" w:rsidRPr="0006502F" w:rsidRDefault="00015B9F" w:rsidP="00015B9F">
            <w:pPr>
              <w:jc w:val="left"/>
            </w:pPr>
            <w:r>
              <w:rPr>
                <w:lang w:val="sr-Cyrl-CS"/>
              </w:rPr>
              <w:t xml:space="preserve"> </w:t>
            </w:r>
            <w:r w:rsidRPr="0006502F">
              <w:t xml:space="preserve">Морталитет </w:t>
            </w:r>
          </w:p>
        </w:tc>
        <w:tc>
          <w:tcPr>
            <w:tcW w:w="766" w:type="dxa"/>
          </w:tcPr>
          <w:p w:rsidR="00015B9F" w:rsidRPr="00CB71FB" w:rsidRDefault="00015B9F" w:rsidP="00015B9F">
            <w:pPr>
              <w:jc w:val="right"/>
              <w:cnfStyle w:val="000000010000" w:firstRow="0" w:lastRow="0" w:firstColumn="0" w:lastColumn="0" w:oddVBand="0" w:evenVBand="0" w:oddHBand="0" w:evenHBand="1" w:firstRowFirstColumn="0" w:firstRowLastColumn="0" w:lastRowFirstColumn="0" w:lastRowLastColumn="0"/>
            </w:pPr>
            <w:r w:rsidRPr="00CB71FB">
              <w:t xml:space="preserve">0,2 </w:t>
            </w:r>
          </w:p>
        </w:tc>
        <w:tc>
          <w:tcPr>
            <w:tcW w:w="766" w:type="dxa"/>
          </w:tcPr>
          <w:p w:rsidR="00015B9F" w:rsidRPr="00CB71FB" w:rsidRDefault="00015B9F" w:rsidP="00015B9F">
            <w:pPr>
              <w:jc w:val="right"/>
              <w:cnfStyle w:val="000000010000" w:firstRow="0" w:lastRow="0" w:firstColumn="0" w:lastColumn="0" w:oddVBand="0" w:evenVBand="0" w:oddHBand="0" w:evenHBand="1" w:firstRowFirstColumn="0" w:firstRowLastColumn="0" w:lastRowFirstColumn="0" w:lastRowLastColumn="0"/>
            </w:pPr>
            <w:r w:rsidRPr="00CB71FB">
              <w:t xml:space="preserve">0,6 </w:t>
            </w:r>
          </w:p>
        </w:tc>
        <w:tc>
          <w:tcPr>
            <w:tcW w:w="766" w:type="dxa"/>
          </w:tcPr>
          <w:p w:rsidR="00015B9F" w:rsidRPr="00CB71FB" w:rsidRDefault="00015B9F" w:rsidP="00015B9F">
            <w:pPr>
              <w:jc w:val="right"/>
              <w:cnfStyle w:val="000000010000" w:firstRow="0" w:lastRow="0" w:firstColumn="0" w:lastColumn="0" w:oddVBand="0" w:evenVBand="0" w:oddHBand="0" w:evenHBand="1" w:firstRowFirstColumn="0" w:firstRowLastColumn="0" w:lastRowFirstColumn="0" w:lastRowLastColumn="0"/>
            </w:pPr>
            <w:r w:rsidRPr="00CB71FB">
              <w:t>0,2</w:t>
            </w:r>
          </w:p>
        </w:tc>
        <w:tc>
          <w:tcPr>
            <w:tcW w:w="740" w:type="dxa"/>
          </w:tcPr>
          <w:p w:rsidR="00015B9F" w:rsidRPr="00CA5552" w:rsidRDefault="00015B9F" w:rsidP="00015B9F">
            <w:pPr>
              <w:jc w:val="right"/>
              <w:cnfStyle w:val="000000010000" w:firstRow="0" w:lastRow="0" w:firstColumn="0" w:lastColumn="0" w:oddVBand="0" w:evenVBand="0" w:oddHBand="0" w:evenHBand="1" w:firstRowFirstColumn="0" w:firstRowLastColumn="0" w:lastRowFirstColumn="0" w:lastRowLastColumn="0"/>
            </w:pPr>
            <w:r>
              <w:t>&lt;0,1</w:t>
            </w:r>
          </w:p>
        </w:tc>
        <w:tc>
          <w:tcPr>
            <w:tcW w:w="740" w:type="dxa"/>
          </w:tcPr>
          <w:p w:rsidR="00015B9F" w:rsidRPr="005604F2" w:rsidRDefault="00015B9F" w:rsidP="00015B9F">
            <w:pPr>
              <w:jc w:val="right"/>
              <w:cnfStyle w:val="000000010000" w:firstRow="0" w:lastRow="0" w:firstColumn="0" w:lastColumn="0" w:oddVBand="0" w:evenVBand="0" w:oddHBand="0" w:evenHBand="1" w:firstRowFirstColumn="0" w:firstRowLastColumn="0" w:lastRowFirstColumn="0" w:lastRowLastColumn="0"/>
            </w:pPr>
            <w:r>
              <w:t>&lt;0,1</w:t>
            </w:r>
          </w:p>
        </w:tc>
        <w:tc>
          <w:tcPr>
            <w:tcW w:w="740" w:type="dxa"/>
          </w:tcPr>
          <w:p w:rsidR="00015B9F" w:rsidRPr="00604D4B" w:rsidRDefault="00015B9F" w:rsidP="00015B9F">
            <w:pPr>
              <w:jc w:val="right"/>
              <w:cnfStyle w:val="000000010000" w:firstRow="0" w:lastRow="0" w:firstColumn="0" w:lastColumn="0" w:oddVBand="0" w:evenVBand="0" w:oddHBand="0" w:evenHBand="1" w:firstRowFirstColumn="0" w:firstRowLastColumn="0" w:lastRowFirstColumn="0" w:lastRowLastColumn="0"/>
            </w:pPr>
            <w:r>
              <w:t>0,0</w:t>
            </w:r>
          </w:p>
        </w:tc>
      </w:tr>
    </w:tbl>
    <w:p w:rsidR="00BD1967" w:rsidRDefault="00015B9F" w:rsidP="00015B9F">
      <w:r w:rsidRPr="005B6370">
        <w:rPr>
          <w:rFonts w:ascii="Cambria" w:eastAsia="Cambria" w:hAnsi="Cambria" w:cs="Cambria"/>
          <w:b/>
          <w:color w:val="4F81BD"/>
        </w:rPr>
        <w:t xml:space="preserve"> </w:t>
      </w:r>
    </w:p>
    <w:p w:rsidR="00015B9F" w:rsidRPr="00802DA7" w:rsidRDefault="00BD1967" w:rsidP="00015B9F">
      <w:pPr>
        <w:rPr>
          <w:lang w:val="sr-Cyrl-RS"/>
        </w:rPr>
      </w:pPr>
      <w:r>
        <w:rPr>
          <w:rFonts w:ascii="Century Gothic" w:hAnsi="Century Gothic"/>
          <w:szCs w:val="20"/>
        </w:rPr>
        <w:t>Н</w:t>
      </w:r>
      <w:r w:rsidR="00212B95">
        <w:rPr>
          <w:rFonts w:ascii="Century Gothic" w:hAnsi="Century Gothic"/>
          <w:szCs w:val="20"/>
        </w:rPr>
        <w:t>ајвећи број оболелих се континуирано региструје н</w:t>
      </w:r>
      <w:r w:rsidR="00015B9F">
        <w:rPr>
          <w:rFonts w:ascii="Century Gothic" w:hAnsi="Century Gothic"/>
          <w:szCs w:val="20"/>
        </w:rPr>
        <w:t xml:space="preserve">а </w:t>
      </w:r>
      <w:r w:rsidR="00212B95">
        <w:rPr>
          <w:rFonts w:ascii="Century Gothic" w:hAnsi="Century Gothic"/>
          <w:szCs w:val="20"/>
        </w:rPr>
        <w:t>подручју</w:t>
      </w:r>
      <w:r w:rsidR="00015B9F" w:rsidRPr="00EC2EF6">
        <w:rPr>
          <w:rFonts w:ascii="Century Gothic" w:hAnsi="Century Gothic"/>
          <w:szCs w:val="20"/>
        </w:rPr>
        <w:t xml:space="preserve"> </w:t>
      </w:r>
      <w:r>
        <w:rPr>
          <w:rFonts w:ascii="Century Gothic" w:hAnsi="Century Gothic"/>
          <w:szCs w:val="20"/>
          <w:lang w:val="sr-Cyrl-RS"/>
        </w:rPr>
        <w:t xml:space="preserve"> Јужнобачког </w:t>
      </w:r>
      <w:r w:rsidR="00171B5D">
        <w:rPr>
          <w:rFonts w:ascii="Century Gothic" w:hAnsi="Century Gothic"/>
          <w:szCs w:val="20"/>
          <w:lang w:val="sr-Cyrl-RS"/>
        </w:rPr>
        <w:t xml:space="preserve">и </w:t>
      </w:r>
      <w:r w:rsidR="00015B9F" w:rsidRPr="00EC2EF6">
        <w:rPr>
          <w:rFonts w:ascii="Century Gothic" w:hAnsi="Century Gothic"/>
          <w:szCs w:val="20"/>
        </w:rPr>
        <w:t>Ју</w:t>
      </w:r>
      <w:r w:rsidR="00171B5D">
        <w:rPr>
          <w:rFonts w:ascii="Century Gothic" w:hAnsi="Century Gothic"/>
          <w:szCs w:val="20"/>
        </w:rPr>
        <w:t>жнобанатског округа.</w:t>
      </w:r>
      <w:r w:rsidR="00171B5D">
        <w:rPr>
          <w:lang w:val="sr-Cyrl-RS"/>
        </w:rPr>
        <w:t xml:space="preserve"> </w:t>
      </w:r>
      <w:r w:rsidR="00015B9F">
        <w:t xml:space="preserve">Пријављивањем су обухваћени само неуроинвазивни облици болести. </w:t>
      </w:r>
      <w:r w:rsidR="00015B9F" w:rsidRPr="005A7FB7">
        <w:t>Оболеле особе</w:t>
      </w:r>
      <w:r w:rsidR="00015B9F">
        <w:t xml:space="preserve"> </w:t>
      </w:r>
      <w:r w:rsidR="00EA0421">
        <w:t>се региструју</w:t>
      </w:r>
      <w:r w:rsidR="00212B95">
        <w:t xml:space="preserve"> у периоду ј</w:t>
      </w:r>
      <w:r w:rsidR="00171B5D">
        <w:t>ул</w:t>
      </w:r>
      <w:r w:rsidR="00212B95">
        <w:t>- с</w:t>
      </w:r>
      <w:r w:rsidR="00171B5D">
        <w:t>ептембар</w:t>
      </w:r>
      <w:r w:rsidR="00212B95">
        <w:rPr>
          <w:lang w:val="sr-Cyrl-RS"/>
        </w:rPr>
        <w:t xml:space="preserve"> месец</w:t>
      </w:r>
      <w:r w:rsidR="00171B5D">
        <w:t xml:space="preserve"> </w:t>
      </w:r>
      <w:r w:rsidR="00015B9F" w:rsidRPr="005A7FB7">
        <w:t>када су активност комараца и изложеност људи комарцима највећи</w:t>
      </w:r>
      <w:r w:rsidR="00015B9F">
        <w:t xml:space="preserve"> </w:t>
      </w:r>
      <w:r w:rsidR="00171B5D">
        <w:rPr>
          <w:lang w:val="sr-Cyrl-RS"/>
        </w:rPr>
        <w:t>.</w:t>
      </w:r>
    </w:p>
    <w:p w:rsidR="00B023EA" w:rsidRPr="00B023EA" w:rsidRDefault="00B023EA" w:rsidP="00171B5D">
      <w:pPr>
        <w:pStyle w:val="Heading2"/>
        <w:rPr>
          <w:rFonts w:cs="Arial"/>
          <w:sz w:val="20"/>
          <w:szCs w:val="20"/>
          <w:lang w:val="sr-Latn-CS"/>
        </w:rPr>
      </w:pPr>
      <w:bookmarkStart w:id="39" w:name="_Toc389134488"/>
      <w:bookmarkStart w:id="40" w:name="_Toc515520326"/>
      <w:bookmarkStart w:id="41" w:name="_Toc515524168"/>
      <w:r w:rsidRPr="00B023EA">
        <w:rPr>
          <w:rFonts w:cs="Arial"/>
          <w:sz w:val="20"/>
          <w:szCs w:val="20"/>
          <w:lang w:val="sr-Latn-CS"/>
        </w:rPr>
        <w:t xml:space="preserve">Мада су постигнути значајни резултати у сузбијању и спречавању </w:t>
      </w:r>
      <w:r w:rsidRPr="00B023EA">
        <w:rPr>
          <w:rFonts w:cs="Arial"/>
          <w:sz w:val="20"/>
          <w:szCs w:val="20"/>
        </w:rPr>
        <w:t xml:space="preserve">бројних </w:t>
      </w:r>
      <w:r w:rsidRPr="00B023EA">
        <w:rPr>
          <w:rFonts w:cs="Arial"/>
          <w:sz w:val="20"/>
          <w:szCs w:val="20"/>
          <w:lang w:val="sr-Latn-CS"/>
        </w:rPr>
        <w:t>зооноза, ова обољења и данас имају велик здравствени, ветеринарски</w:t>
      </w:r>
      <w:r w:rsidRPr="00B023EA">
        <w:rPr>
          <w:rFonts w:cs="Arial"/>
          <w:sz w:val="20"/>
          <w:szCs w:val="20"/>
          <w:lang w:val="sr-Cyrl-RS"/>
        </w:rPr>
        <w:t xml:space="preserve"> епидемиолошки</w:t>
      </w:r>
      <w:r w:rsidRPr="00B023EA">
        <w:rPr>
          <w:rFonts w:cs="Arial"/>
          <w:sz w:val="20"/>
          <w:szCs w:val="20"/>
          <w:lang w:val="sr-Latn-CS"/>
        </w:rPr>
        <w:t xml:space="preserve"> и економски значај. Због распрострањености жаришта, промене вируленције микроорганизма, ризика од ширења оболења на нова географска подручја и пораста инциденције </w:t>
      </w:r>
      <w:r w:rsidRPr="00B023EA">
        <w:rPr>
          <w:rFonts w:cs="Arial"/>
          <w:sz w:val="20"/>
          <w:szCs w:val="20"/>
          <w:lang w:val="sr-Cyrl-RS"/>
        </w:rPr>
        <w:t>оболевања</w:t>
      </w:r>
      <w:r w:rsidRPr="00B023EA">
        <w:rPr>
          <w:rFonts w:cs="Arial"/>
          <w:sz w:val="20"/>
          <w:szCs w:val="20"/>
          <w:lang w:val="sr-Latn-CS"/>
        </w:rPr>
        <w:t xml:space="preserve"> код људи и животиња, као и препознавање нових зооноза, многа обољења ове групе  припадају новим </w:t>
      </w:r>
      <w:r w:rsidRPr="00B023EA">
        <w:rPr>
          <w:rFonts w:cs="Arial"/>
          <w:i/>
          <w:sz w:val="20"/>
          <w:szCs w:val="20"/>
          <w:lang w:val="sr-Latn-CS"/>
        </w:rPr>
        <w:t>(„emerging“</w:t>
      </w:r>
      <w:r w:rsidRPr="00B023EA">
        <w:rPr>
          <w:rFonts w:cs="Arial"/>
          <w:sz w:val="20"/>
          <w:szCs w:val="20"/>
          <w:lang w:val="sr-Latn-CS"/>
        </w:rPr>
        <w:t xml:space="preserve">) или претећим </w:t>
      </w:r>
      <w:r w:rsidRPr="00B023EA">
        <w:rPr>
          <w:rFonts w:cs="Arial"/>
          <w:i/>
          <w:sz w:val="20"/>
          <w:szCs w:val="20"/>
          <w:lang w:val="sr-Latn-CS"/>
        </w:rPr>
        <w:t>(„re-emerging“</w:t>
      </w:r>
      <w:r w:rsidRPr="00B023EA">
        <w:rPr>
          <w:rFonts w:cs="Arial"/>
          <w:sz w:val="20"/>
          <w:szCs w:val="20"/>
          <w:lang w:val="sr-Latn-CS"/>
        </w:rPr>
        <w:t>) инфекцијама.</w:t>
      </w:r>
    </w:p>
    <w:p w:rsidR="00B023EA" w:rsidRDefault="00B023EA" w:rsidP="00171B5D">
      <w:pPr>
        <w:pStyle w:val="Heading2"/>
        <w:rPr>
          <w:rFonts w:cs="Arial"/>
          <w:sz w:val="20"/>
          <w:szCs w:val="20"/>
        </w:rPr>
      </w:pPr>
      <w:r w:rsidRPr="00B023EA">
        <w:rPr>
          <w:rFonts w:cs="Arial"/>
          <w:sz w:val="20"/>
          <w:szCs w:val="20"/>
        </w:rPr>
        <w:t>Према висини инциденције, водеће обољење ове групе у Војводини је</w:t>
      </w:r>
      <w:r w:rsidRPr="00B023EA">
        <w:rPr>
          <w:rFonts w:cs="Arial"/>
          <w:sz w:val="20"/>
          <w:szCs w:val="20"/>
          <w:lang w:val="sr-Cyrl-RS"/>
        </w:rPr>
        <w:t xml:space="preserve"> годинама уназад била</w:t>
      </w:r>
      <w:r w:rsidRPr="00B023EA">
        <w:rPr>
          <w:rFonts w:cs="Arial"/>
          <w:sz w:val="20"/>
          <w:szCs w:val="20"/>
        </w:rPr>
        <w:t xml:space="preserve"> трихинелоза, док </w:t>
      </w:r>
      <w:r w:rsidRPr="00B023EA">
        <w:rPr>
          <w:rFonts w:cs="Arial"/>
          <w:sz w:val="20"/>
          <w:szCs w:val="20"/>
          <w:lang w:val="sr-Cyrl-RS"/>
        </w:rPr>
        <w:t xml:space="preserve">су </w:t>
      </w:r>
      <w:r w:rsidRPr="00B023EA">
        <w:rPr>
          <w:rFonts w:cs="Arial"/>
          <w:sz w:val="20"/>
          <w:szCs w:val="20"/>
        </w:rPr>
        <w:t>с</w:t>
      </w:r>
      <w:r w:rsidRPr="00B023EA">
        <w:rPr>
          <w:rFonts w:cs="Arial"/>
          <w:sz w:val="20"/>
          <w:szCs w:val="20"/>
          <w:lang w:val="sr-Cyrl-CS"/>
        </w:rPr>
        <w:t>е</w:t>
      </w:r>
      <w:r w:rsidRPr="00B023EA">
        <w:rPr>
          <w:rFonts w:cs="Arial"/>
          <w:sz w:val="20"/>
          <w:szCs w:val="20"/>
        </w:rPr>
        <w:t xml:space="preserve"> К</w:t>
      </w:r>
      <w:r w:rsidRPr="00B023EA">
        <w:rPr>
          <w:rFonts w:cs="Arial"/>
          <w:sz w:val="20"/>
          <w:szCs w:val="20"/>
          <w:lang w:val="sr-Cyrl-CS"/>
        </w:rPr>
        <w:t xml:space="preserve">ју </w:t>
      </w:r>
      <w:r w:rsidRPr="00B023EA">
        <w:rPr>
          <w:rFonts w:cs="Arial"/>
          <w:sz w:val="20"/>
          <w:szCs w:val="20"/>
        </w:rPr>
        <w:t>грозница, токсоплазмоза, ехинококоза и лептоспироза регистр</w:t>
      </w:r>
      <w:r w:rsidRPr="00B023EA">
        <w:rPr>
          <w:rFonts w:cs="Arial"/>
          <w:sz w:val="20"/>
          <w:szCs w:val="20"/>
          <w:lang w:val="sr-Cyrl-CS"/>
        </w:rPr>
        <w:t>овале</w:t>
      </w:r>
      <w:r w:rsidRPr="00B023EA">
        <w:rPr>
          <w:rFonts w:cs="Arial"/>
          <w:sz w:val="20"/>
          <w:szCs w:val="20"/>
        </w:rPr>
        <w:t xml:space="preserve"> континуирано, </w:t>
      </w:r>
      <w:r w:rsidRPr="00B023EA">
        <w:rPr>
          <w:rFonts w:cs="Arial"/>
          <w:sz w:val="20"/>
          <w:szCs w:val="20"/>
          <w:lang w:val="sr-Cyrl-CS"/>
        </w:rPr>
        <w:t xml:space="preserve">али </w:t>
      </w:r>
      <w:r w:rsidRPr="00B023EA">
        <w:rPr>
          <w:rFonts w:cs="Arial"/>
          <w:sz w:val="20"/>
          <w:szCs w:val="20"/>
        </w:rPr>
        <w:t xml:space="preserve">са </w:t>
      </w:r>
      <w:r w:rsidRPr="00B023EA">
        <w:rPr>
          <w:rFonts w:cs="Arial"/>
          <w:sz w:val="20"/>
          <w:szCs w:val="20"/>
          <w:lang w:val="sr-Cyrl-CS"/>
        </w:rPr>
        <w:t>нижом</w:t>
      </w:r>
      <w:r w:rsidRPr="00B023EA">
        <w:rPr>
          <w:rFonts w:cs="Arial"/>
          <w:sz w:val="20"/>
          <w:szCs w:val="20"/>
        </w:rPr>
        <w:t xml:space="preserve"> инциденцијом</w:t>
      </w:r>
    </w:p>
    <w:p w:rsidR="00171B5D" w:rsidRPr="00B023EA" w:rsidRDefault="00171B5D" w:rsidP="00171B5D">
      <w:pPr>
        <w:pStyle w:val="Heading2"/>
        <w:rPr>
          <w:b/>
          <w:sz w:val="20"/>
          <w:szCs w:val="20"/>
          <w:lang w:val="sr-Cyrl-RS" w:eastAsia="sr-Latn-RS"/>
        </w:rPr>
      </w:pPr>
      <w:r w:rsidRPr="00B023EA">
        <w:rPr>
          <w:b/>
          <w:sz w:val="20"/>
          <w:szCs w:val="20"/>
          <w:lang w:val="sr-Cyrl-RS" w:eastAsia="sr-Latn-RS"/>
        </w:rPr>
        <w:t>Trichinellosis</w:t>
      </w:r>
      <w:bookmarkEnd w:id="39"/>
      <w:bookmarkEnd w:id="40"/>
      <w:bookmarkEnd w:id="41"/>
      <w:r w:rsidRPr="00B023EA">
        <w:rPr>
          <w:b/>
          <w:sz w:val="20"/>
          <w:szCs w:val="20"/>
          <w:lang w:val="sr-Cyrl-RS" w:eastAsia="sr-Latn-RS"/>
        </w:rPr>
        <w:t xml:space="preserve"> </w:t>
      </w:r>
    </w:p>
    <w:p w:rsidR="00171B5D" w:rsidRPr="00867467" w:rsidRDefault="00171B5D" w:rsidP="00016E48">
      <w:pPr>
        <w:spacing w:after="254"/>
        <w:ind w:left="10" w:right="100" w:hanging="10"/>
        <w:rPr>
          <w:rStyle w:val="Emphasis"/>
          <w:color w:val="auto"/>
        </w:rPr>
      </w:pPr>
      <w:r w:rsidRPr="00016E48">
        <w:rPr>
          <w:rStyle w:val="Emphasis"/>
          <w:color w:val="auto"/>
        </w:rPr>
        <w:t xml:space="preserve">Трихинелоза је једна од зооноза која је стално присутна на територији наше Покрајине. Региструје се континуирано, у </w:t>
      </w:r>
      <w:r w:rsidRPr="00016E48">
        <w:rPr>
          <w:rStyle w:val="Emphasis"/>
          <w:color w:val="auto"/>
          <w:lang w:val="sr-Cyrl-CS"/>
        </w:rPr>
        <w:t>о</w:t>
      </w:r>
      <w:r w:rsidRPr="00016E48">
        <w:rPr>
          <w:rStyle w:val="Emphasis"/>
          <w:color w:val="auto"/>
        </w:rPr>
        <w:t>блику мањих и већих епидемија, од 1966. године, када је уведено обавезно пријављивање овог обољења Мада су епидемије трихинелозе најчешће везане за приватно клање свиња и конзумирање инфестираних прерађевина припремљених за сопствене потребе, повремено су регистроване и епидемије великих размера, које су настајале инфестираним намирницама дистрибуираним из приватних месарских радњи (како легалних, тако и нелегалних), директно или преко угоститељских објеката. Годишња вредност инциденције зависи од броја епидемија и величине појединих епидемија, регистрованих у току године. Највиша инциденција је регистрована 1985. године, када је откривено девет епидемија трихинелозе и пријављено 907 оболелих особа. Највећа епидемија у АП Војводини је била у Сремској Митровици са 676 оболелих.</w:t>
      </w:r>
    </w:p>
    <w:p w:rsidR="00171B5D" w:rsidRPr="0042148B" w:rsidRDefault="00171B5D" w:rsidP="00171B5D">
      <w:pPr>
        <w:pStyle w:val="Caption"/>
        <w:spacing w:after="0"/>
      </w:pPr>
      <w:r w:rsidRPr="0042148B">
        <w:t>Графикон</w:t>
      </w:r>
      <w:r w:rsidR="00016E48">
        <w:rPr>
          <w:lang w:val="sr-Cyrl-RS"/>
        </w:rPr>
        <w:t xml:space="preserve"> 4</w:t>
      </w:r>
      <w:r w:rsidRPr="0042148B">
        <w:t xml:space="preserve"> </w:t>
      </w:r>
      <w:r>
        <w:t>.</w:t>
      </w:r>
      <w:r w:rsidRPr="0042148B">
        <w:t xml:space="preserve"> Trichinellosis у АП Војводини у периоду од 1966. до 2017. године</w:t>
      </w:r>
    </w:p>
    <w:p w:rsidR="00171B5D" w:rsidRPr="00265657" w:rsidRDefault="00171B5D" w:rsidP="00171B5D">
      <w:pPr>
        <w:spacing w:after="315" w:line="256" w:lineRule="auto"/>
        <w:ind w:left="-16"/>
        <w:jc w:val="left"/>
      </w:pPr>
      <w:r>
        <w:rPr>
          <w:lang w:eastAsia="en-US"/>
        </w:rPr>
        <w:lastRenderedPageBreak/>
        <w:drawing>
          <wp:inline distT="0" distB="0" distL="0" distR="0" wp14:anchorId="4BBD6C0F" wp14:editId="3CE7518B">
            <wp:extent cx="5975985" cy="2286000"/>
            <wp:effectExtent l="0" t="0" r="0" b="0"/>
            <wp:docPr id="44"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Pr>
          <w:lang w:val="sr-Latn-RS" w:eastAsia="sr-Latn-RS"/>
        </w:rPr>
        <w:t xml:space="preserve"> </w:t>
      </w:r>
    </w:p>
    <w:p w:rsidR="00171B5D" w:rsidRPr="00265657" w:rsidRDefault="00171B5D" w:rsidP="00171B5D">
      <w:r w:rsidRPr="00265657">
        <w:t>Као</w:t>
      </w:r>
      <w:r>
        <w:t xml:space="preserve"> </w:t>
      </w:r>
      <w:r w:rsidRPr="00265657">
        <w:t>резултат бројних масовних кампања</w:t>
      </w:r>
      <w:r>
        <w:t>,</w:t>
      </w:r>
      <w:r w:rsidRPr="00265657">
        <w:t xml:space="preserve"> спровођених у циљу здравствене едукације опште популације, све чешћег и редовнијег контролисања меса из приватне производње и прераде, број регистрованих епидемија трихинелозе се континуирано смањује, а број оболелих се у </w:t>
      </w:r>
      <w:r w:rsidRPr="00EE14E7">
        <w:rPr>
          <w:color w:val="000000" w:themeColor="text1"/>
        </w:rPr>
        <w:t>протеклом де</w:t>
      </w:r>
      <w:r>
        <w:rPr>
          <w:color w:val="000000" w:themeColor="text1"/>
        </w:rPr>
        <w:t>сетогодишњем периоду кретао од шест (2017</w:t>
      </w:r>
      <w:r w:rsidRPr="00EE14E7">
        <w:rPr>
          <w:color w:val="000000" w:themeColor="text1"/>
        </w:rPr>
        <w:t>. године) до 69 (20</w:t>
      </w:r>
      <w:r>
        <w:rPr>
          <w:color w:val="000000" w:themeColor="text1"/>
        </w:rPr>
        <w:t xml:space="preserve">11.  и 2013. године). </w:t>
      </w:r>
    </w:p>
    <w:p w:rsidR="00171B5D" w:rsidRPr="0042148B" w:rsidRDefault="00016E48" w:rsidP="00171B5D">
      <w:pPr>
        <w:pStyle w:val="Caption"/>
        <w:spacing w:after="0"/>
      </w:pPr>
      <w:r>
        <w:t>Табела 15</w:t>
      </w:r>
      <w:r>
        <w:rPr>
          <w:lang w:val="sr-Cyrl-RS"/>
        </w:rPr>
        <w:t xml:space="preserve">. </w:t>
      </w:r>
      <w:r w:rsidR="00171B5D" w:rsidRPr="0042148B">
        <w:t>Trichinellosis у АП Војводини у периоду од 2008. до 2017. године</w:t>
      </w:r>
    </w:p>
    <w:tbl>
      <w:tblPr>
        <w:tblStyle w:val="PlainTable51"/>
        <w:tblW w:w="8610" w:type="dxa"/>
        <w:jc w:val="center"/>
        <w:tblLook w:val="04A0" w:firstRow="1" w:lastRow="0" w:firstColumn="1" w:lastColumn="0" w:noHBand="0" w:noVBand="1"/>
      </w:tblPr>
      <w:tblGrid>
        <w:gridCol w:w="1540"/>
        <w:gridCol w:w="707"/>
        <w:gridCol w:w="709"/>
        <w:gridCol w:w="707"/>
        <w:gridCol w:w="727"/>
        <w:gridCol w:w="707"/>
        <w:gridCol w:w="724"/>
        <w:gridCol w:w="694"/>
        <w:gridCol w:w="694"/>
        <w:gridCol w:w="694"/>
        <w:gridCol w:w="707"/>
      </w:tblGrid>
      <w:tr w:rsidR="00171B5D" w:rsidRPr="007C4555" w:rsidTr="0097777F">
        <w:trPr>
          <w:cnfStyle w:val="100000000000" w:firstRow="1" w:lastRow="0" w:firstColumn="0" w:lastColumn="0" w:oddVBand="0" w:evenVBand="0" w:oddHBand="0" w:evenHBand="0" w:firstRowFirstColumn="0" w:firstRowLastColumn="0" w:lastRowFirstColumn="0" w:lastRowLastColumn="0"/>
          <w:trHeight w:val="214"/>
          <w:jc w:val="center"/>
        </w:trPr>
        <w:tc>
          <w:tcPr>
            <w:cnfStyle w:val="001000000100" w:firstRow="0" w:lastRow="0" w:firstColumn="1" w:lastColumn="0" w:oddVBand="0" w:evenVBand="0" w:oddHBand="0" w:evenHBand="0" w:firstRowFirstColumn="1" w:firstRowLastColumn="0" w:lastRowFirstColumn="0" w:lastRowLastColumn="0"/>
            <w:tcW w:w="1540" w:type="dxa"/>
            <w:hideMark/>
          </w:tcPr>
          <w:p w:rsidR="00171B5D" w:rsidRPr="007C4555" w:rsidRDefault="00171B5D" w:rsidP="0097777F">
            <w:pPr>
              <w:spacing w:line="256" w:lineRule="auto"/>
              <w:jc w:val="right"/>
              <w:rPr>
                <w:rFonts w:asciiTheme="minorHAnsi" w:eastAsiaTheme="minorEastAsia" w:hAnsiTheme="minorHAnsi" w:cstheme="minorBidi"/>
                <w:i w:val="0"/>
                <w:iCs w:val="0"/>
                <w:color w:val="auto"/>
              </w:rPr>
            </w:pPr>
            <w:r w:rsidRPr="007C4555">
              <w:rPr>
                <w:rFonts w:asciiTheme="minorHAnsi" w:eastAsiaTheme="minorEastAsia" w:hAnsiTheme="minorHAnsi" w:cstheme="minorBidi"/>
                <w:i w:val="0"/>
                <w:iCs w:val="0"/>
                <w:color w:val="FFFFFF"/>
              </w:rPr>
              <w:t xml:space="preserve"> </w:t>
            </w:r>
          </w:p>
        </w:tc>
        <w:tc>
          <w:tcPr>
            <w:tcW w:w="707" w:type="dxa"/>
          </w:tcPr>
          <w:p w:rsidR="00171B5D" w:rsidRPr="007C4555" w:rsidRDefault="00171B5D" w:rsidP="0097777F">
            <w:pPr>
              <w:spacing w:line="256" w:lineRule="auto"/>
              <w:ind w:left="41"/>
              <w:jc w:val="right"/>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rPr>
            </w:pPr>
            <w:r w:rsidRPr="007C4555">
              <w:rPr>
                <w:rFonts w:asciiTheme="minorHAnsi" w:eastAsiaTheme="minorEastAsia" w:hAnsiTheme="minorHAnsi" w:cstheme="minorBidi"/>
                <w:i w:val="0"/>
                <w:iCs w:val="0"/>
                <w:color w:val="FFFFFF"/>
              </w:rPr>
              <w:t xml:space="preserve">2008 </w:t>
            </w:r>
          </w:p>
        </w:tc>
        <w:tc>
          <w:tcPr>
            <w:tcW w:w="707" w:type="dxa"/>
          </w:tcPr>
          <w:p w:rsidR="00171B5D" w:rsidRPr="007C4555" w:rsidRDefault="00171B5D" w:rsidP="0097777F">
            <w:pPr>
              <w:spacing w:line="256" w:lineRule="auto"/>
              <w:ind w:left="44"/>
              <w:jc w:val="right"/>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rPr>
            </w:pPr>
            <w:r w:rsidRPr="007C4555">
              <w:rPr>
                <w:rFonts w:asciiTheme="minorHAnsi" w:eastAsiaTheme="minorEastAsia" w:hAnsiTheme="minorHAnsi" w:cstheme="minorBidi"/>
                <w:i w:val="0"/>
                <w:iCs w:val="0"/>
                <w:color w:val="FFFFFF"/>
              </w:rPr>
              <w:t xml:space="preserve">2009 </w:t>
            </w:r>
          </w:p>
        </w:tc>
        <w:tc>
          <w:tcPr>
            <w:tcW w:w="707" w:type="dxa"/>
          </w:tcPr>
          <w:p w:rsidR="00171B5D" w:rsidRPr="007C4555" w:rsidRDefault="00171B5D" w:rsidP="0097777F">
            <w:pPr>
              <w:spacing w:line="256" w:lineRule="auto"/>
              <w:ind w:left="42"/>
              <w:jc w:val="right"/>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rPr>
            </w:pPr>
            <w:r w:rsidRPr="007C4555">
              <w:rPr>
                <w:rFonts w:asciiTheme="minorHAnsi" w:eastAsiaTheme="minorEastAsia" w:hAnsiTheme="minorHAnsi" w:cstheme="minorBidi"/>
                <w:i w:val="0"/>
                <w:iCs w:val="0"/>
                <w:color w:val="FFFFFF"/>
              </w:rPr>
              <w:t xml:space="preserve">2010 </w:t>
            </w:r>
          </w:p>
        </w:tc>
        <w:tc>
          <w:tcPr>
            <w:tcW w:w="707" w:type="dxa"/>
          </w:tcPr>
          <w:p w:rsidR="00171B5D" w:rsidRPr="007C4555" w:rsidRDefault="00171B5D" w:rsidP="0097777F">
            <w:pPr>
              <w:spacing w:line="256" w:lineRule="auto"/>
              <w:ind w:left="62"/>
              <w:jc w:val="right"/>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rPr>
            </w:pPr>
            <w:r w:rsidRPr="007C4555">
              <w:rPr>
                <w:rFonts w:asciiTheme="minorHAnsi" w:eastAsiaTheme="minorEastAsia" w:hAnsiTheme="minorHAnsi" w:cstheme="minorBidi"/>
                <w:i w:val="0"/>
                <w:iCs w:val="0"/>
                <w:color w:val="FFFFFF"/>
              </w:rPr>
              <w:t xml:space="preserve">2011 </w:t>
            </w:r>
          </w:p>
        </w:tc>
        <w:tc>
          <w:tcPr>
            <w:tcW w:w="707" w:type="dxa"/>
          </w:tcPr>
          <w:p w:rsidR="00171B5D" w:rsidRPr="007C4555" w:rsidRDefault="00171B5D" w:rsidP="0097777F">
            <w:pPr>
              <w:spacing w:line="256" w:lineRule="auto"/>
              <w:ind w:left="42"/>
              <w:jc w:val="right"/>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rPr>
            </w:pPr>
            <w:r w:rsidRPr="007C4555">
              <w:rPr>
                <w:rFonts w:asciiTheme="minorHAnsi" w:eastAsiaTheme="minorEastAsia" w:hAnsiTheme="minorHAnsi" w:cstheme="minorBidi"/>
                <w:i w:val="0"/>
                <w:iCs w:val="0"/>
                <w:color w:val="FFFFFF"/>
              </w:rPr>
              <w:t xml:space="preserve">2012 </w:t>
            </w:r>
          </w:p>
        </w:tc>
        <w:tc>
          <w:tcPr>
            <w:tcW w:w="707" w:type="dxa"/>
          </w:tcPr>
          <w:p w:rsidR="00171B5D" w:rsidRPr="007C4555" w:rsidRDefault="00171B5D" w:rsidP="0097777F">
            <w:pPr>
              <w:spacing w:line="256" w:lineRule="auto"/>
              <w:ind w:left="59"/>
              <w:jc w:val="right"/>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rPr>
            </w:pPr>
            <w:r w:rsidRPr="007C4555">
              <w:rPr>
                <w:rFonts w:asciiTheme="minorHAnsi" w:eastAsiaTheme="minorEastAsia" w:hAnsiTheme="minorHAnsi" w:cstheme="minorBidi"/>
                <w:i w:val="0"/>
                <w:iCs w:val="0"/>
                <w:color w:val="FFFFFF"/>
              </w:rPr>
              <w:t xml:space="preserve">2013 </w:t>
            </w:r>
          </w:p>
        </w:tc>
        <w:tc>
          <w:tcPr>
            <w:tcW w:w="707" w:type="dxa"/>
          </w:tcPr>
          <w:p w:rsidR="00171B5D" w:rsidRPr="007C4555" w:rsidRDefault="00171B5D" w:rsidP="0097777F">
            <w:pPr>
              <w:spacing w:line="256" w:lineRule="auto"/>
              <w:ind w:right="5"/>
              <w:jc w:val="right"/>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rPr>
            </w:pPr>
            <w:r w:rsidRPr="007C4555">
              <w:rPr>
                <w:rFonts w:asciiTheme="minorHAnsi" w:eastAsiaTheme="minorEastAsia" w:hAnsiTheme="minorHAnsi" w:cstheme="minorBidi"/>
                <w:i w:val="0"/>
                <w:iCs w:val="0"/>
                <w:color w:val="FFFFFF"/>
              </w:rPr>
              <w:t xml:space="preserve">2014 </w:t>
            </w:r>
          </w:p>
        </w:tc>
        <w:tc>
          <w:tcPr>
            <w:tcW w:w="707" w:type="dxa"/>
          </w:tcPr>
          <w:p w:rsidR="00171B5D" w:rsidRPr="007C4555" w:rsidRDefault="00171B5D" w:rsidP="0097777F">
            <w:pPr>
              <w:spacing w:line="256" w:lineRule="auto"/>
              <w:ind w:right="5"/>
              <w:jc w:val="right"/>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rPr>
            </w:pPr>
            <w:r w:rsidRPr="007C4555">
              <w:rPr>
                <w:rFonts w:asciiTheme="minorHAnsi" w:eastAsiaTheme="minorEastAsia" w:hAnsiTheme="minorHAnsi" w:cstheme="minorBidi"/>
                <w:i w:val="0"/>
                <w:iCs w:val="0"/>
                <w:color w:val="FFFFFF"/>
              </w:rPr>
              <w:t xml:space="preserve">2015 </w:t>
            </w:r>
          </w:p>
        </w:tc>
        <w:tc>
          <w:tcPr>
            <w:tcW w:w="707" w:type="dxa"/>
          </w:tcPr>
          <w:p w:rsidR="00171B5D" w:rsidRPr="007C4555" w:rsidRDefault="00171B5D" w:rsidP="0097777F">
            <w:pPr>
              <w:spacing w:line="256" w:lineRule="auto"/>
              <w:ind w:right="5"/>
              <w:jc w:val="right"/>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rPr>
            </w:pPr>
            <w:r>
              <w:rPr>
                <w:rFonts w:asciiTheme="minorHAnsi" w:eastAsiaTheme="minorEastAsia" w:hAnsiTheme="minorHAnsi" w:cstheme="minorBidi"/>
                <w:i w:val="0"/>
                <w:iCs w:val="0"/>
                <w:color w:val="FFFFFF"/>
              </w:rPr>
              <w:t>2016</w:t>
            </w:r>
            <w:r w:rsidRPr="007C4555">
              <w:rPr>
                <w:rFonts w:asciiTheme="minorHAnsi" w:eastAsiaTheme="minorEastAsia" w:hAnsiTheme="minorHAnsi" w:cstheme="minorBidi"/>
                <w:i w:val="0"/>
                <w:iCs w:val="0"/>
                <w:color w:val="FFFFFF"/>
              </w:rPr>
              <w:t xml:space="preserve"> </w:t>
            </w:r>
          </w:p>
        </w:tc>
        <w:tc>
          <w:tcPr>
            <w:tcW w:w="707" w:type="dxa"/>
            <w:hideMark/>
          </w:tcPr>
          <w:p w:rsidR="00171B5D" w:rsidRPr="007C4555" w:rsidRDefault="00171B5D" w:rsidP="0097777F">
            <w:pPr>
              <w:spacing w:line="256" w:lineRule="auto"/>
              <w:ind w:left="42"/>
              <w:jc w:val="right"/>
              <w:cnfStyle w:val="100000000000" w:firstRow="1"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rPr>
            </w:pPr>
            <w:r>
              <w:rPr>
                <w:rFonts w:asciiTheme="minorHAnsi" w:eastAsiaTheme="minorEastAsia" w:hAnsiTheme="minorHAnsi" w:cstheme="minorBidi"/>
                <w:i w:val="0"/>
                <w:iCs w:val="0"/>
                <w:color w:val="FFFFFF"/>
              </w:rPr>
              <w:t>201</w:t>
            </w:r>
            <w:r w:rsidRPr="007C4555">
              <w:rPr>
                <w:rFonts w:asciiTheme="minorHAnsi" w:eastAsiaTheme="minorEastAsia" w:hAnsiTheme="minorHAnsi" w:cstheme="minorBidi"/>
                <w:i w:val="0"/>
                <w:iCs w:val="0"/>
                <w:color w:val="FFFFFF"/>
              </w:rPr>
              <w:t xml:space="preserve">7 </w:t>
            </w:r>
          </w:p>
        </w:tc>
      </w:tr>
      <w:tr w:rsidR="00171B5D" w:rsidRPr="007C4555" w:rsidTr="0097777F">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1540" w:type="dxa"/>
            <w:tcBorders>
              <w:top w:val="nil"/>
              <w:left w:val="nil"/>
              <w:bottom w:val="nil"/>
            </w:tcBorders>
            <w:hideMark/>
          </w:tcPr>
          <w:p w:rsidR="00171B5D" w:rsidRPr="007C4555" w:rsidRDefault="00171B5D" w:rsidP="0097777F">
            <w:pPr>
              <w:spacing w:line="256" w:lineRule="auto"/>
              <w:jc w:val="right"/>
              <w:rPr>
                <w:rFonts w:asciiTheme="minorHAnsi" w:eastAsiaTheme="minorEastAsia" w:hAnsiTheme="minorHAnsi" w:cstheme="minorBidi"/>
                <w:i w:val="0"/>
                <w:iCs w:val="0"/>
              </w:rPr>
            </w:pPr>
            <w:r w:rsidRPr="007C4555">
              <w:rPr>
                <w:rFonts w:asciiTheme="minorHAnsi" w:eastAsiaTheme="minorEastAsia" w:hAnsiTheme="minorHAnsi" w:cstheme="minorBidi"/>
                <w:i w:val="0"/>
                <w:iCs w:val="0"/>
              </w:rPr>
              <w:t>Бр.oболелих</w:t>
            </w:r>
          </w:p>
        </w:tc>
        <w:tc>
          <w:tcPr>
            <w:tcW w:w="707" w:type="dxa"/>
          </w:tcPr>
          <w:p w:rsidR="00171B5D" w:rsidRPr="007C4555" w:rsidRDefault="00171B5D" w:rsidP="0097777F">
            <w:pPr>
              <w:ind w:right="6"/>
              <w:jc w:val="right"/>
              <w:cnfStyle w:val="000000100000" w:firstRow="0" w:lastRow="0" w:firstColumn="0" w:lastColumn="0" w:oddVBand="0" w:evenVBand="0" w:oddHBand="1" w:evenHBand="0" w:firstRowFirstColumn="0" w:firstRowLastColumn="0" w:lastRowFirstColumn="0" w:lastRowLastColumn="0"/>
            </w:pPr>
            <w:r w:rsidRPr="007C4555">
              <w:t>55</w:t>
            </w:r>
          </w:p>
        </w:tc>
        <w:tc>
          <w:tcPr>
            <w:tcW w:w="707" w:type="dxa"/>
          </w:tcPr>
          <w:p w:rsidR="00171B5D" w:rsidRPr="007C4555" w:rsidRDefault="00171B5D" w:rsidP="0097777F">
            <w:pPr>
              <w:ind w:right="6"/>
              <w:jc w:val="right"/>
              <w:cnfStyle w:val="000000100000" w:firstRow="0" w:lastRow="0" w:firstColumn="0" w:lastColumn="0" w:oddVBand="0" w:evenVBand="0" w:oddHBand="1" w:evenHBand="0" w:firstRowFirstColumn="0" w:firstRowLastColumn="0" w:lastRowFirstColumn="0" w:lastRowLastColumn="0"/>
            </w:pPr>
            <w:r w:rsidRPr="007C4555">
              <w:t>44</w:t>
            </w:r>
          </w:p>
        </w:tc>
        <w:tc>
          <w:tcPr>
            <w:tcW w:w="707" w:type="dxa"/>
          </w:tcPr>
          <w:p w:rsidR="00171B5D" w:rsidRPr="007C4555" w:rsidRDefault="00171B5D" w:rsidP="0097777F">
            <w:pPr>
              <w:ind w:right="4"/>
              <w:jc w:val="right"/>
              <w:cnfStyle w:val="000000100000" w:firstRow="0" w:lastRow="0" w:firstColumn="0" w:lastColumn="0" w:oddVBand="0" w:evenVBand="0" w:oddHBand="1" w:evenHBand="0" w:firstRowFirstColumn="0" w:firstRowLastColumn="0" w:lastRowFirstColumn="0" w:lastRowLastColumn="0"/>
            </w:pPr>
            <w:r w:rsidRPr="007C4555">
              <w:t>10</w:t>
            </w:r>
          </w:p>
        </w:tc>
        <w:tc>
          <w:tcPr>
            <w:tcW w:w="707" w:type="dxa"/>
          </w:tcPr>
          <w:p w:rsidR="00171B5D" w:rsidRPr="007C4555" w:rsidRDefault="00171B5D" w:rsidP="0097777F">
            <w:pPr>
              <w:ind w:right="5"/>
              <w:jc w:val="right"/>
              <w:cnfStyle w:val="000000100000" w:firstRow="0" w:lastRow="0" w:firstColumn="0" w:lastColumn="0" w:oddVBand="0" w:evenVBand="0" w:oddHBand="1" w:evenHBand="0" w:firstRowFirstColumn="0" w:firstRowLastColumn="0" w:lastRowFirstColumn="0" w:lastRowLastColumn="0"/>
            </w:pPr>
            <w:r w:rsidRPr="007C4555">
              <w:t>69</w:t>
            </w:r>
          </w:p>
        </w:tc>
        <w:tc>
          <w:tcPr>
            <w:tcW w:w="707" w:type="dxa"/>
          </w:tcPr>
          <w:p w:rsidR="00171B5D" w:rsidRPr="007C4555" w:rsidRDefault="00171B5D" w:rsidP="0097777F">
            <w:pPr>
              <w:ind w:right="6"/>
              <w:jc w:val="right"/>
              <w:cnfStyle w:val="000000100000" w:firstRow="0" w:lastRow="0" w:firstColumn="0" w:lastColumn="0" w:oddVBand="0" w:evenVBand="0" w:oddHBand="1" w:evenHBand="0" w:firstRowFirstColumn="0" w:firstRowLastColumn="0" w:lastRowFirstColumn="0" w:lastRowLastColumn="0"/>
            </w:pPr>
            <w:r w:rsidRPr="007C4555">
              <w:t>9</w:t>
            </w:r>
          </w:p>
        </w:tc>
        <w:tc>
          <w:tcPr>
            <w:tcW w:w="707" w:type="dxa"/>
          </w:tcPr>
          <w:p w:rsidR="00171B5D" w:rsidRPr="007C4555" w:rsidRDefault="00171B5D" w:rsidP="0097777F">
            <w:pPr>
              <w:jc w:val="right"/>
              <w:cnfStyle w:val="000000100000" w:firstRow="0" w:lastRow="0" w:firstColumn="0" w:lastColumn="0" w:oddVBand="0" w:evenVBand="0" w:oddHBand="1" w:evenHBand="0" w:firstRowFirstColumn="0" w:firstRowLastColumn="0" w:lastRowFirstColumn="0" w:lastRowLastColumn="0"/>
            </w:pPr>
            <w:r w:rsidRPr="007C4555">
              <w:t>69</w:t>
            </w:r>
          </w:p>
        </w:tc>
        <w:tc>
          <w:tcPr>
            <w:tcW w:w="707" w:type="dxa"/>
          </w:tcPr>
          <w:p w:rsidR="00171B5D" w:rsidRPr="007C4555" w:rsidRDefault="00171B5D" w:rsidP="0097777F">
            <w:pPr>
              <w:jc w:val="right"/>
              <w:cnfStyle w:val="000000100000" w:firstRow="0" w:lastRow="0" w:firstColumn="0" w:lastColumn="0" w:oddVBand="0" w:evenVBand="0" w:oddHBand="1" w:evenHBand="0" w:firstRowFirstColumn="0" w:firstRowLastColumn="0" w:lastRowFirstColumn="0" w:lastRowLastColumn="0"/>
            </w:pPr>
            <w:r w:rsidRPr="007C4555">
              <w:t>36</w:t>
            </w:r>
          </w:p>
        </w:tc>
        <w:tc>
          <w:tcPr>
            <w:tcW w:w="707" w:type="dxa"/>
          </w:tcPr>
          <w:p w:rsidR="00171B5D" w:rsidRPr="007C4555" w:rsidRDefault="00171B5D" w:rsidP="0097777F">
            <w:pPr>
              <w:jc w:val="right"/>
              <w:cnfStyle w:val="000000100000" w:firstRow="0" w:lastRow="0" w:firstColumn="0" w:lastColumn="0" w:oddVBand="0" w:evenVBand="0" w:oddHBand="1" w:evenHBand="0" w:firstRowFirstColumn="0" w:firstRowLastColumn="0" w:lastRowFirstColumn="0" w:lastRowLastColumn="0"/>
            </w:pPr>
            <w:r w:rsidRPr="007C4555">
              <w:t>53</w:t>
            </w:r>
          </w:p>
        </w:tc>
        <w:tc>
          <w:tcPr>
            <w:tcW w:w="707" w:type="dxa"/>
          </w:tcPr>
          <w:p w:rsidR="00171B5D" w:rsidRPr="00EE14E7" w:rsidRDefault="00171B5D" w:rsidP="0097777F">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EE14E7">
              <w:rPr>
                <w:color w:val="000000" w:themeColor="text1"/>
              </w:rPr>
              <w:t>51</w:t>
            </w:r>
          </w:p>
        </w:tc>
        <w:tc>
          <w:tcPr>
            <w:tcW w:w="707" w:type="dxa"/>
            <w:hideMark/>
          </w:tcPr>
          <w:p w:rsidR="00171B5D" w:rsidRPr="007C4555" w:rsidRDefault="00171B5D" w:rsidP="0097777F">
            <w:pPr>
              <w:ind w:right="9"/>
              <w:jc w:val="right"/>
              <w:cnfStyle w:val="000000100000" w:firstRow="0" w:lastRow="0" w:firstColumn="0" w:lastColumn="0" w:oddVBand="0" w:evenVBand="0" w:oddHBand="1" w:evenHBand="0" w:firstRowFirstColumn="0" w:firstRowLastColumn="0" w:lastRowFirstColumn="0" w:lastRowLastColumn="0"/>
            </w:pPr>
            <w:r>
              <w:t>6</w:t>
            </w:r>
          </w:p>
        </w:tc>
      </w:tr>
      <w:tr w:rsidR="00171B5D" w:rsidRPr="007C4555" w:rsidTr="0097777F">
        <w:trPr>
          <w:cnfStyle w:val="000000010000" w:firstRow="0" w:lastRow="0" w:firstColumn="0" w:lastColumn="0" w:oddVBand="0" w:evenVBand="0" w:oddHBand="0" w:evenHBand="1" w:firstRowFirstColumn="0" w:firstRowLastColumn="0" w:lastRowFirstColumn="0" w:lastRowLastColumn="0"/>
          <w:trHeight w:val="422"/>
          <w:jc w:val="center"/>
        </w:trPr>
        <w:tc>
          <w:tcPr>
            <w:cnfStyle w:val="001000000000" w:firstRow="0" w:lastRow="0" w:firstColumn="1" w:lastColumn="0" w:oddVBand="0" w:evenVBand="0" w:oddHBand="0" w:evenHBand="0" w:firstRowFirstColumn="0" w:firstRowLastColumn="0" w:lastRowFirstColumn="0" w:lastRowLastColumn="0"/>
            <w:tcW w:w="1540" w:type="dxa"/>
            <w:tcBorders>
              <w:top w:val="nil"/>
              <w:left w:val="nil"/>
              <w:bottom w:val="nil"/>
            </w:tcBorders>
            <w:hideMark/>
          </w:tcPr>
          <w:p w:rsidR="00171B5D" w:rsidRPr="007C4555" w:rsidRDefault="00171B5D" w:rsidP="0097777F">
            <w:pPr>
              <w:spacing w:line="256" w:lineRule="auto"/>
              <w:jc w:val="right"/>
              <w:rPr>
                <w:rFonts w:asciiTheme="minorHAnsi" w:eastAsiaTheme="minorEastAsia" w:hAnsiTheme="minorHAnsi" w:cstheme="minorBidi"/>
                <w:i w:val="0"/>
                <w:iCs w:val="0"/>
                <w:color w:val="auto"/>
              </w:rPr>
            </w:pPr>
            <w:r w:rsidRPr="007C4555">
              <w:rPr>
                <w:rFonts w:asciiTheme="minorHAnsi" w:eastAsiaTheme="minorEastAsia" w:hAnsiTheme="minorHAnsi" w:cstheme="minorBidi"/>
                <w:i w:val="0"/>
                <w:iCs w:val="0"/>
                <w:color w:val="auto"/>
              </w:rPr>
              <w:t>Инциденција</w:t>
            </w:r>
          </w:p>
        </w:tc>
        <w:tc>
          <w:tcPr>
            <w:tcW w:w="707" w:type="dxa"/>
          </w:tcPr>
          <w:p w:rsidR="00171B5D" w:rsidRPr="007C4555" w:rsidRDefault="00171B5D" w:rsidP="0097777F">
            <w:pPr>
              <w:ind w:right="4"/>
              <w:jc w:val="right"/>
              <w:cnfStyle w:val="000000010000" w:firstRow="0" w:lastRow="0" w:firstColumn="0" w:lastColumn="0" w:oddVBand="0" w:evenVBand="0" w:oddHBand="0" w:evenHBand="1" w:firstRowFirstColumn="0" w:firstRowLastColumn="0" w:lastRowFirstColumn="0" w:lastRowLastColumn="0"/>
              <w:rPr>
                <w:color w:val="auto"/>
              </w:rPr>
            </w:pPr>
            <w:r w:rsidRPr="007C4555">
              <w:rPr>
                <w:color w:val="auto"/>
              </w:rPr>
              <w:t>2,7</w:t>
            </w:r>
          </w:p>
        </w:tc>
        <w:tc>
          <w:tcPr>
            <w:tcW w:w="707" w:type="dxa"/>
          </w:tcPr>
          <w:p w:rsidR="00171B5D" w:rsidRPr="007C4555" w:rsidRDefault="00171B5D" w:rsidP="0097777F">
            <w:pPr>
              <w:ind w:right="4"/>
              <w:jc w:val="right"/>
              <w:cnfStyle w:val="000000010000" w:firstRow="0" w:lastRow="0" w:firstColumn="0" w:lastColumn="0" w:oddVBand="0" w:evenVBand="0" w:oddHBand="0" w:evenHBand="1" w:firstRowFirstColumn="0" w:firstRowLastColumn="0" w:lastRowFirstColumn="0" w:lastRowLastColumn="0"/>
              <w:rPr>
                <w:color w:val="auto"/>
              </w:rPr>
            </w:pPr>
            <w:r w:rsidRPr="007C4555">
              <w:rPr>
                <w:color w:val="auto"/>
              </w:rPr>
              <w:t>2,2</w:t>
            </w:r>
          </w:p>
        </w:tc>
        <w:tc>
          <w:tcPr>
            <w:tcW w:w="707" w:type="dxa"/>
          </w:tcPr>
          <w:p w:rsidR="00171B5D" w:rsidRPr="007C4555" w:rsidRDefault="00171B5D" w:rsidP="0097777F">
            <w:pPr>
              <w:ind w:right="2"/>
              <w:jc w:val="right"/>
              <w:cnfStyle w:val="000000010000" w:firstRow="0" w:lastRow="0" w:firstColumn="0" w:lastColumn="0" w:oddVBand="0" w:evenVBand="0" w:oddHBand="0" w:evenHBand="1" w:firstRowFirstColumn="0" w:firstRowLastColumn="0" w:lastRowFirstColumn="0" w:lastRowLastColumn="0"/>
              <w:rPr>
                <w:color w:val="auto"/>
              </w:rPr>
            </w:pPr>
            <w:r w:rsidRPr="007C4555">
              <w:rPr>
                <w:color w:val="auto"/>
              </w:rPr>
              <w:t>0,5</w:t>
            </w:r>
          </w:p>
        </w:tc>
        <w:tc>
          <w:tcPr>
            <w:tcW w:w="707" w:type="dxa"/>
          </w:tcPr>
          <w:p w:rsidR="00171B5D" w:rsidRPr="007C4555" w:rsidRDefault="00171B5D" w:rsidP="0097777F">
            <w:pPr>
              <w:ind w:right="3"/>
              <w:jc w:val="right"/>
              <w:cnfStyle w:val="000000010000" w:firstRow="0" w:lastRow="0" w:firstColumn="0" w:lastColumn="0" w:oddVBand="0" w:evenVBand="0" w:oddHBand="0" w:evenHBand="1" w:firstRowFirstColumn="0" w:firstRowLastColumn="0" w:lastRowFirstColumn="0" w:lastRowLastColumn="0"/>
              <w:rPr>
                <w:color w:val="auto"/>
              </w:rPr>
            </w:pPr>
            <w:r w:rsidRPr="007C4555">
              <w:rPr>
                <w:color w:val="auto"/>
              </w:rPr>
              <w:t>3,4</w:t>
            </w:r>
          </w:p>
        </w:tc>
        <w:tc>
          <w:tcPr>
            <w:tcW w:w="707" w:type="dxa"/>
          </w:tcPr>
          <w:p w:rsidR="00171B5D" w:rsidRPr="007C4555" w:rsidRDefault="00171B5D" w:rsidP="0097777F">
            <w:pPr>
              <w:ind w:right="4"/>
              <w:jc w:val="right"/>
              <w:cnfStyle w:val="000000010000" w:firstRow="0" w:lastRow="0" w:firstColumn="0" w:lastColumn="0" w:oddVBand="0" w:evenVBand="0" w:oddHBand="0" w:evenHBand="1" w:firstRowFirstColumn="0" w:firstRowLastColumn="0" w:lastRowFirstColumn="0" w:lastRowLastColumn="0"/>
              <w:rPr>
                <w:color w:val="auto"/>
              </w:rPr>
            </w:pPr>
            <w:r w:rsidRPr="007C4555">
              <w:rPr>
                <w:color w:val="auto"/>
              </w:rPr>
              <w:t>0,5</w:t>
            </w:r>
          </w:p>
        </w:tc>
        <w:tc>
          <w:tcPr>
            <w:tcW w:w="707" w:type="dxa"/>
          </w:tcPr>
          <w:p w:rsidR="00171B5D" w:rsidRPr="007C4555" w:rsidRDefault="00171B5D" w:rsidP="0097777F">
            <w:pPr>
              <w:ind w:right="3"/>
              <w:jc w:val="right"/>
              <w:cnfStyle w:val="000000010000" w:firstRow="0" w:lastRow="0" w:firstColumn="0" w:lastColumn="0" w:oddVBand="0" w:evenVBand="0" w:oddHBand="0" w:evenHBand="1" w:firstRowFirstColumn="0" w:firstRowLastColumn="0" w:lastRowFirstColumn="0" w:lastRowLastColumn="0"/>
              <w:rPr>
                <w:color w:val="auto"/>
              </w:rPr>
            </w:pPr>
            <w:r w:rsidRPr="007C4555">
              <w:rPr>
                <w:color w:val="auto"/>
              </w:rPr>
              <w:t>3,6</w:t>
            </w:r>
          </w:p>
        </w:tc>
        <w:tc>
          <w:tcPr>
            <w:tcW w:w="707" w:type="dxa"/>
          </w:tcPr>
          <w:p w:rsidR="00171B5D" w:rsidRPr="007C4555" w:rsidRDefault="00171B5D" w:rsidP="0097777F">
            <w:pPr>
              <w:ind w:right="3"/>
              <w:jc w:val="right"/>
              <w:cnfStyle w:val="000000010000" w:firstRow="0" w:lastRow="0" w:firstColumn="0" w:lastColumn="0" w:oddVBand="0" w:evenVBand="0" w:oddHBand="0" w:evenHBand="1" w:firstRowFirstColumn="0" w:firstRowLastColumn="0" w:lastRowFirstColumn="0" w:lastRowLastColumn="0"/>
              <w:rPr>
                <w:color w:val="auto"/>
              </w:rPr>
            </w:pPr>
            <w:r w:rsidRPr="007C4555">
              <w:rPr>
                <w:color w:val="auto"/>
              </w:rPr>
              <w:t>1,9</w:t>
            </w:r>
          </w:p>
        </w:tc>
        <w:tc>
          <w:tcPr>
            <w:tcW w:w="707" w:type="dxa"/>
          </w:tcPr>
          <w:p w:rsidR="00171B5D" w:rsidRPr="007C4555" w:rsidRDefault="00171B5D" w:rsidP="0097777F">
            <w:pPr>
              <w:ind w:right="3"/>
              <w:jc w:val="right"/>
              <w:cnfStyle w:val="000000010000" w:firstRow="0" w:lastRow="0" w:firstColumn="0" w:lastColumn="0" w:oddVBand="0" w:evenVBand="0" w:oddHBand="0" w:evenHBand="1" w:firstRowFirstColumn="0" w:firstRowLastColumn="0" w:lastRowFirstColumn="0" w:lastRowLastColumn="0"/>
              <w:rPr>
                <w:color w:val="auto"/>
              </w:rPr>
            </w:pPr>
            <w:r w:rsidRPr="007C4555">
              <w:rPr>
                <w:color w:val="auto"/>
              </w:rPr>
              <w:t>2,7</w:t>
            </w:r>
          </w:p>
        </w:tc>
        <w:tc>
          <w:tcPr>
            <w:tcW w:w="707" w:type="dxa"/>
          </w:tcPr>
          <w:p w:rsidR="00171B5D" w:rsidRPr="00EE14E7" w:rsidRDefault="00171B5D" w:rsidP="0097777F">
            <w:pPr>
              <w:ind w:right="3"/>
              <w:jc w:val="right"/>
              <w:cnfStyle w:val="000000010000" w:firstRow="0" w:lastRow="0" w:firstColumn="0" w:lastColumn="0" w:oddVBand="0" w:evenVBand="0" w:oddHBand="0" w:evenHBand="1" w:firstRowFirstColumn="0" w:firstRowLastColumn="0" w:lastRowFirstColumn="0" w:lastRowLastColumn="0"/>
            </w:pPr>
            <w:r w:rsidRPr="00EE14E7">
              <w:t>2,6</w:t>
            </w:r>
          </w:p>
        </w:tc>
        <w:tc>
          <w:tcPr>
            <w:tcW w:w="707" w:type="dxa"/>
            <w:hideMark/>
          </w:tcPr>
          <w:p w:rsidR="00171B5D" w:rsidRPr="007C4555" w:rsidRDefault="00171B5D" w:rsidP="0097777F">
            <w:pPr>
              <w:ind w:right="7"/>
              <w:jc w:val="right"/>
              <w:cnfStyle w:val="000000010000" w:firstRow="0" w:lastRow="0" w:firstColumn="0" w:lastColumn="0" w:oddVBand="0" w:evenVBand="0" w:oddHBand="0" w:evenHBand="1" w:firstRowFirstColumn="0" w:firstRowLastColumn="0" w:lastRowFirstColumn="0" w:lastRowLastColumn="0"/>
              <w:rPr>
                <w:color w:val="auto"/>
              </w:rPr>
            </w:pPr>
            <w:r>
              <w:rPr>
                <w:color w:val="auto"/>
              </w:rPr>
              <w:t>0,3</w:t>
            </w:r>
          </w:p>
        </w:tc>
      </w:tr>
    </w:tbl>
    <w:p w:rsidR="00171B5D" w:rsidRPr="009D7A0E" w:rsidRDefault="00171B5D" w:rsidP="00802DA7">
      <w:pPr>
        <w:spacing w:after="18" w:line="256" w:lineRule="auto"/>
        <w:jc w:val="left"/>
      </w:pPr>
      <w:r w:rsidRPr="00265657">
        <w:rPr>
          <w:rFonts w:ascii="Cambria" w:eastAsia="Cambria" w:hAnsi="Cambria" w:cs="Cambria"/>
          <w:b/>
          <w:color w:val="4F81BD"/>
        </w:rPr>
        <w:t xml:space="preserve"> </w:t>
      </w:r>
    </w:p>
    <w:p w:rsidR="00B41633" w:rsidRPr="00EA0421" w:rsidRDefault="00171B5D" w:rsidP="00B03CC0">
      <w:r w:rsidRPr="00265657">
        <w:t xml:space="preserve">Сезонско кретање овог обољења је одређено </w:t>
      </w:r>
      <w:r>
        <w:t>сезоном свињокоља, с обзиром да је о</w:t>
      </w:r>
      <w:r w:rsidRPr="002A4737">
        <w:rPr>
          <w:lang w:val="ru-RU"/>
        </w:rPr>
        <w:t xml:space="preserve">сновни резервоар </w:t>
      </w:r>
      <w:r w:rsidRPr="00B91A75">
        <w:rPr>
          <w:i/>
        </w:rPr>
        <w:t>Trichinellae</w:t>
      </w:r>
      <w:r>
        <w:t xml:space="preserve"> </w:t>
      </w:r>
      <w:r w:rsidRPr="002A4737">
        <w:rPr>
          <w:lang w:val="ru-RU"/>
        </w:rPr>
        <w:t xml:space="preserve">у АП </w:t>
      </w:r>
      <w:r>
        <w:rPr>
          <w:lang w:val="ru-RU"/>
        </w:rPr>
        <w:t xml:space="preserve">Војводини </w:t>
      </w:r>
      <w:r w:rsidRPr="002A4737">
        <w:rPr>
          <w:lang w:val="ru-RU"/>
        </w:rPr>
        <w:t>домаћа свиња, а најризичније намирни</w:t>
      </w:r>
      <w:r>
        <w:rPr>
          <w:lang w:val="ru-RU"/>
        </w:rPr>
        <w:t>це су димљене кобасице, које се</w:t>
      </w:r>
      <w:r w:rsidRPr="002A4737">
        <w:rPr>
          <w:lang w:val="ru-RU"/>
        </w:rPr>
        <w:t xml:space="preserve"> од свих традиционално конзервираних намирница, прве конзумирају након </w:t>
      </w:r>
      <w:r w:rsidRPr="00217C6B">
        <w:rPr>
          <w:lang w:val="ru-RU"/>
        </w:rPr>
        <w:t>свињокоља</w:t>
      </w:r>
      <w:r>
        <w:t xml:space="preserve">. </w:t>
      </w:r>
    </w:p>
    <w:p w:rsidR="00B023EA" w:rsidRDefault="00B023EA" w:rsidP="00B03CC0">
      <w:pPr>
        <w:rPr>
          <w:rFonts w:ascii="Arial" w:hAnsi="Arial" w:cs="Arial"/>
          <w:sz w:val="22"/>
          <w:szCs w:val="22"/>
          <w:lang w:val="sr-Cyrl-CS"/>
        </w:rPr>
      </w:pPr>
      <w:r w:rsidRPr="00B023EA">
        <w:rPr>
          <w:rFonts w:asciiTheme="majorHAnsi" w:hAnsiTheme="majorHAnsi" w:cs="Arial"/>
          <w:b/>
          <w:szCs w:val="20"/>
          <w:lang w:val="sr-Cyrl-CS"/>
        </w:rPr>
        <w:t>Кју</w:t>
      </w:r>
      <w:r w:rsidRPr="00B023EA">
        <w:rPr>
          <w:rFonts w:asciiTheme="majorHAnsi" w:hAnsiTheme="majorHAnsi" w:cs="Arial"/>
          <w:b/>
          <w:szCs w:val="20"/>
          <w:lang w:val="sr-Latn-CS"/>
        </w:rPr>
        <w:t xml:space="preserve"> грозница</w:t>
      </w:r>
      <w:r w:rsidRPr="00B023EA">
        <w:rPr>
          <w:rFonts w:asciiTheme="majorHAnsi" w:hAnsiTheme="majorHAnsi" w:cs="Arial"/>
          <w:szCs w:val="20"/>
          <w:lang w:val="sr-Latn-CS"/>
        </w:rPr>
        <w:t xml:space="preserve"> је ендемска зооноза у Војводини. </w:t>
      </w:r>
      <w:r w:rsidRPr="00511B99">
        <w:rPr>
          <w:rStyle w:val="Emphasis"/>
          <w:i w:val="0"/>
          <w:color w:val="auto"/>
        </w:rPr>
        <w:t>Надзор над кју грозницом у нашој земљи се спроводи</w:t>
      </w:r>
      <w:r>
        <w:rPr>
          <w:rStyle w:val="Emphasis"/>
          <w:i w:val="0"/>
          <w:color w:val="auto"/>
        </w:rPr>
        <w:t xml:space="preserve"> од 1964. године. Највиша инциденција</w:t>
      </w:r>
      <w:r w:rsidRPr="00511B99">
        <w:rPr>
          <w:rStyle w:val="Emphasis"/>
          <w:i w:val="0"/>
          <w:color w:val="auto"/>
        </w:rPr>
        <w:t xml:space="preserve"> кју грознице у АП Војводини је регистрована 1976. године, када је у банатском селу (Падеј) избила епидемија кју грознице са преко 900 пријављених оболелих особа</w:t>
      </w:r>
      <w:r>
        <w:rPr>
          <w:rStyle w:val="Emphasis"/>
          <w:i w:val="0"/>
          <w:color w:val="auto"/>
          <w:lang w:val="sr-Cyrl-RS"/>
        </w:rPr>
        <w:t>.</w:t>
      </w:r>
      <w:r w:rsidRPr="00511B99">
        <w:rPr>
          <w:rStyle w:val="Emphasis"/>
          <w:i w:val="0"/>
          <w:color w:val="auto"/>
        </w:rPr>
        <w:t xml:space="preserve"> </w:t>
      </w:r>
      <w:r w:rsidRPr="00B023EA">
        <w:rPr>
          <w:rFonts w:asciiTheme="majorHAnsi" w:hAnsiTheme="majorHAnsi" w:cs="Arial"/>
          <w:szCs w:val="20"/>
          <w:lang w:val="sr-Latn-CS"/>
        </w:rPr>
        <w:t>Напуштањем номадског сточарења и редуковањем сточног фонда, пре свега оваца као основних резервоара, у Војводини се више не јављају епидемије великих размера, какве су биле до краја 80-их година.</w:t>
      </w:r>
      <w:r w:rsidRPr="00B023EA">
        <w:rPr>
          <w:rFonts w:asciiTheme="majorHAnsi" w:hAnsiTheme="majorHAnsi" w:cs="Arial"/>
          <w:szCs w:val="20"/>
          <w:lang w:val="sr-Cyrl-CS"/>
        </w:rPr>
        <w:t xml:space="preserve"> Од Кју грознице претежно оболевају власници домаћих животиња и чланови њихових породица. Међутим, пошто се обољење преноси ваздухом, ризику од инфекције је изложено и читаво становништво подручја са развијеним овчарством.</w:t>
      </w:r>
      <w:r>
        <w:rPr>
          <w:rFonts w:ascii="Arial" w:hAnsi="Arial" w:cs="Arial"/>
          <w:sz w:val="22"/>
          <w:szCs w:val="22"/>
          <w:lang w:val="sr-Cyrl-CS"/>
        </w:rPr>
        <w:t xml:space="preserve"> </w:t>
      </w:r>
    </w:p>
    <w:p w:rsidR="00B023EA" w:rsidRPr="005170A6" w:rsidRDefault="00B023EA" w:rsidP="00B023EA">
      <w:pPr>
        <w:spacing w:before="120" w:after="0" w:line="240" w:lineRule="auto"/>
        <w:rPr>
          <w:rFonts w:ascii="Calibri" w:hAnsi="Calibri"/>
          <w:b/>
          <w:bCs/>
          <w:smallCaps/>
          <w:color w:val="3494BA" w:themeColor="accent1"/>
          <w:spacing w:val="6"/>
        </w:rPr>
      </w:pPr>
      <w:r>
        <w:rPr>
          <w:rFonts w:ascii="Calibri" w:hAnsi="Calibri"/>
          <w:b/>
          <w:bCs/>
          <w:smallCaps/>
          <w:color w:val="3494BA" w:themeColor="accent1"/>
          <w:spacing w:val="6"/>
        </w:rPr>
        <w:t>Табела 16.</w:t>
      </w:r>
      <w:r w:rsidRPr="005170A6">
        <w:rPr>
          <w:rFonts w:ascii="Calibri" w:hAnsi="Calibri"/>
          <w:b/>
          <w:bCs/>
          <w:smallCaps/>
          <w:color w:val="3494BA" w:themeColor="accent1"/>
          <w:spacing w:val="6"/>
        </w:rPr>
        <w:t xml:space="preserve"> </w:t>
      </w:r>
      <w:r w:rsidRPr="007019D2">
        <w:rPr>
          <w:rFonts w:ascii="Calibri" w:hAnsi="Calibri"/>
          <w:b/>
          <w:bCs/>
          <w:smallCaps/>
          <w:color w:val="3494BA" w:themeColor="accent1"/>
          <w:spacing w:val="6"/>
        </w:rPr>
        <w:t>Febris</w:t>
      </w:r>
      <w:r w:rsidRPr="005170A6">
        <w:rPr>
          <w:rFonts w:ascii="Calibri" w:hAnsi="Calibri"/>
          <w:b/>
          <w:bCs/>
          <w:smallCaps/>
          <w:color w:val="3494BA" w:themeColor="accent1"/>
          <w:spacing w:val="6"/>
        </w:rPr>
        <w:t xml:space="preserve"> </w:t>
      </w:r>
      <w:r w:rsidRPr="007019D2">
        <w:rPr>
          <w:rFonts w:ascii="Calibri" w:hAnsi="Calibri"/>
          <w:b/>
          <w:bCs/>
          <w:smallCaps/>
          <w:color w:val="3494BA" w:themeColor="accent1"/>
          <w:spacing w:val="6"/>
        </w:rPr>
        <w:t>Q</w:t>
      </w:r>
      <w:r w:rsidRPr="005170A6">
        <w:rPr>
          <w:rFonts w:ascii="Calibri" w:hAnsi="Calibri"/>
          <w:b/>
          <w:bCs/>
          <w:smallCaps/>
          <w:color w:val="3494BA" w:themeColor="accent1"/>
          <w:spacing w:val="6"/>
        </w:rPr>
        <w:t xml:space="preserve"> у АП Војводини у периоду од 2008. до 2017. године </w:t>
      </w:r>
    </w:p>
    <w:tbl>
      <w:tblPr>
        <w:tblStyle w:val="PlainTable51"/>
        <w:tblW w:w="8461" w:type="dxa"/>
        <w:jc w:val="center"/>
        <w:tblLook w:val="04A0" w:firstRow="1" w:lastRow="0" w:firstColumn="1" w:lastColumn="0" w:noHBand="0" w:noVBand="1"/>
      </w:tblPr>
      <w:tblGrid>
        <w:gridCol w:w="1540"/>
        <w:gridCol w:w="711"/>
        <w:gridCol w:w="707"/>
        <w:gridCol w:w="726"/>
        <w:gridCol w:w="706"/>
        <w:gridCol w:w="724"/>
        <w:gridCol w:w="688"/>
        <w:gridCol w:w="688"/>
        <w:gridCol w:w="688"/>
        <w:gridCol w:w="688"/>
        <w:gridCol w:w="707"/>
      </w:tblGrid>
      <w:tr w:rsidR="00B023EA" w:rsidTr="0097777F">
        <w:trPr>
          <w:cnfStyle w:val="100000000000" w:firstRow="1" w:lastRow="0" w:firstColumn="0" w:lastColumn="0" w:oddVBand="0" w:evenVBand="0" w:oddHBand="0" w:evenHBand="0" w:firstRowFirstColumn="0" w:firstRowLastColumn="0" w:lastRowFirstColumn="0" w:lastRowLastColumn="0"/>
          <w:trHeight w:val="270"/>
          <w:jc w:val="center"/>
        </w:trPr>
        <w:tc>
          <w:tcPr>
            <w:cnfStyle w:val="001000000100" w:firstRow="0" w:lastRow="0" w:firstColumn="1" w:lastColumn="0" w:oddVBand="0" w:evenVBand="0" w:oddHBand="0" w:evenHBand="0" w:firstRowFirstColumn="1" w:firstRowLastColumn="0" w:lastRowFirstColumn="0" w:lastRowLastColumn="0"/>
            <w:tcW w:w="1541" w:type="dxa"/>
            <w:hideMark/>
          </w:tcPr>
          <w:p w:rsidR="00B023EA" w:rsidRPr="005170A6" w:rsidRDefault="00B023EA" w:rsidP="0097777F">
            <w:pPr>
              <w:spacing w:line="256" w:lineRule="auto"/>
              <w:jc w:val="right"/>
              <w:rPr>
                <w:i w:val="0"/>
              </w:rPr>
            </w:pPr>
            <w:r w:rsidRPr="005170A6">
              <w:rPr>
                <w:i w:val="0"/>
                <w:color w:val="FFFFFF"/>
              </w:rPr>
              <w:t xml:space="preserve"> </w:t>
            </w:r>
          </w:p>
        </w:tc>
        <w:tc>
          <w:tcPr>
            <w:tcW w:w="692" w:type="dxa"/>
          </w:tcPr>
          <w:p w:rsidR="00B023EA" w:rsidRDefault="00B023EA" w:rsidP="0097777F">
            <w:pPr>
              <w:spacing w:line="256" w:lineRule="auto"/>
              <w:ind w:left="46"/>
              <w:jc w:val="right"/>
              <w:cnfStyle w:val="100000000000" w:firstRow="1" w:lastRow="0" w:firstColumn="0" w:lastColumn="0" w:oddVBand="0" w:evenVBand="0" w:oddHBand="0" w:evenHBand="0" w:firstRowFirstColumn="0" w:firstRowLastColumn="0" w:lastRowFirstColumn="0" w:lastRowLastColumn="0"/>
              <w:rPr>
                <w:i w:val="0"/>
              </w:rPr>
            </w:pPr>
            <w:r>
              <w:rPr>
                <w:i w:val="0"/>
                <w:color w:val="FFFFFF"/>
              </w:rPr>
              <w:t xml:space="preserve">2008 </w:t>
            </w:r>
          </w:p>
        </w:tc>
        <w:tc>
          <w:tcPr>
            <w:tcW w:w="692" w:type="dxa"/>
          </w:tcPr>
          <w:p w:rsidR="00B023EA" w:rsidRDefault="00B023EA" w:rsidP="0097777F">
            <w:pPr>
              <w:spacing w:line="256" w:lineRule="auto"/>
              <w:ind w:left="42"/>
              <w:jc w:val="right"/>
              <w:cnfStyle w:val="100000000000" w:firstRow="1" w:lastRow="0" w:firstColumn="0" w:lastColumn="0" w:oddVBand="0" w:evenVBand="0" w:oddHBand="0" w:evenHBand="0" w:firstRowFirstColumn="0" w:firstRowLastColumn="0" w:lastRowFirstColumn="0" w:lastRowLastColumn="0"/>
              <w:rPr>
                <w:i w:val="0"/>
              </w:rPr>
            </w:pPr>
            <w:r>
              <w:rPr>
                <w:i w:val="0"/>
                <w:color w:val="FFFFFF"/>
              </w:rPr>
              <w:t xml:space="preserve">2009 </w:t>
            </w:r>
          </w:p>
        </w:tc>
        <w:tc>
          <w:tcPr>
            <w:tcW w:w="692" w:type="dxa"/>
          </w:tcPr>
          <w:p w:rsidR="00B023EA" w:rsidRDefault="00B023EA" w:rsidP="0097777F">
            <w:pPr>
              <w:spacing w:line="256" w:lineRule="auto"/>
              <w:ind w:left="61"/>
              <w:jc w:val="right"/>
              <w:cnfStyle w:val="100000000000" w:firstRow="1" w:lastRow="0" w:firstColumn="0" w:lastColumn="0" w:oddVBand="0" w:evenVBand="0" w:oddHBand="0" w:evenHBand="0" w:firstRowFirstColumn="0" w:firstRowLastColumn="0" w:lastRowFirstColumn="0" w:lastRowLastColumn="0"/>
              <w:rPr>
                <w:i w:val="0"/>
              </w:rPr>
            </w:pPr>
            <w:r>
              <w:rPr>
                <w:i w:val="0"/>
                <w:color w:val="FFFFFF"/>
              </w:rPr>
              <w:t xml:space="preserve">2010 </w:t>
            </w:r>
          </w:p>
        </w:tc>
        <w:tc>
          <w:tcPr>
            <w:tcW w:w="692" w:type="dxa"/>
          </w:tcPr>
          <w:p w:rsidR="00B023EA" w:rsidRDefault="00B023EA" w:rsidP="0097777F">
            <w:pPr>
              <w:spacing w:line="256" w:lineRule="auto"/>
              <w:ind w:left="41"/>
              <w:jc w:val="right"/>
              <w:cnfStyle w:val="100000000000" w:firstRow="1" w:lastRow="0" w:firstColumn="0" w:lastColumn="0" w:oddVBand="0" w:evenVBand="0" w:oddHBand="0" w:evenHBand="0" w:firstRowFirstColumn="0" w:firstRowLastColumn="0" w:lastRowFirstColumn="0" w:lastRowLastColumn="0"/>
              <w:rPr>
                <w:i w:val="0"/>
              </w:rPr>
            </w:pPr>
            <w:r>
              <w:rPr>
                <w:i w:val="0"/>
                <w:color w:val="FFFFFF"/>
              </w:rPr>
              <w:t xml:space="preserve">2011 </w:t>
            </w:r>
          </w:p>
        </w:tc>
        <w:tc>
          <w:tcPr>
            <w:tcW w:w="692" w:type="dxa"/>
          </w:tcPr>
          <w:p w:rsidR="00B023EA" w:rsidRDefault="00B023EA" w:rsidP="0097777F">
            <w:pPr>
              <w:spacing w:line="256" w:lineRule="auto"/>
              <w:ind w:left="59"/>
              <w:jc w:val="right"/>
              <w:cnfStyle w:val="100000000000" w:firstRow="1" w:lastRow="0" w:firstColumn="0" w:lastColumn="0" w:oddVBand="0" w:evenVBand="0" w:oddHBand="0" w:evenHBand="0" w:firstRowFirstColumn="0" w:firstRowLastColumn="0" w:lastRowFirstColumn="0" w:lastRowLastColumn="0"/>
              <w:rPr>
                <w:i w:val="0"/>
              </w:rPr>
            </w:pPr>
            <w:r>
              <w:rPr>
                <w:i w:val="0"/>
                <w:color w:val="FFFFFF"/>
              </w:rPr>
              <w:t xml:space="preserve">2012 </w:t>
            </w:r>
          </w:p>
        </w:tc>
        <w:tc>
          <w:tcPr>
            <w:tcW w:w="692" w:type="dxa"/>
          </w:tcPr>
          <w:p w:rsidR="00B023EA" w:rsidRDefault="00B023EA" w:rsidP="0097777F">
            <w:pPr>
              <w:spacing w:line="256" w:lineRule="auto"/>
              <w:ind w:right="23"/>
              <w:jc w:val="right"/>
              <w:cnfStyle w:val="100000000000" w:firstRow="1" w:lastRow="0" w:firstColumn="0" w:lastColumn="0" w:oddVBand="0" w:evenVBand="0" w:oddHBand="0" w:evenHBand="0" w:firstRowFirstColumn="0" w:firstRowLastColumn="0" w:lastRowFirstColumn="0" w:lastRowLastColumn="0"/>
              <w:rPr>
                <w:i w:val="0"/>
              </w:rPr>
            </w:pPr>
            <w:r>
              <w:rPr>
                <w:i w:val="0"/>
                <w:color w:val="FFFFFF"/>
              </w:rPr>
              <w:t xml:space="preserve">2013 </w:t>
            </w:r>
          </w:p>
        </w:tc>
        <w:tc>
          <w:tcPr>
            <w:tcW w:w="692" w:type="dxa"/>
          </w:tcPr>
          <w:p w:rsidR="00B023EA" w:rsidRDefault="00B023EA" w:rsidP="0097777F">
            <w:pPr>
              <w:spacing w:line="256" w:lineRule="auto"/>
              <w:ind w:right="23"/>
              <w:jc w:val="right"/>
              <w:cnfStyle w:val="100000000000" w:firstRow="1" w:lastRow="0" w:firstColumn="0" w:lastColumn="0" w:oddVBand="0" w:evenVBand="0" w:oddHBand="0" w:evenHBand="0" w:firstRowFirstColumn="0" w:firstRowLastColumn="0" w:lastRowFirstColumn="0" w:lastRowLastColumn="0"/>
              <w:rPr>
                <w:i w:val="0"/>
                <w:color w:val="FFFFFF"/>
              </w:rPr>
            </w:pPr>
            <w:r>
              <w:rPr>
                <w:i w:val="0"/>
                <w:color w:val="FFFFFF"/>
              </w:rPr>
              <w:t>2014</w:t>
            </w:r>
          </w:p>
        </w:tc>
        <w:tc>
          <w:tcPr>
            <w:tcW w:w="692" w:type="dxa"/>
          </w:tcPr>
          <w:p w:rsidR="00B023EA" w:rsidRPr="00E10FCD" w:rsidRDefault="00B023EA" w:rsidP="0097777F">
            <w:pPr>
              <w:spacing w:line="256" w:lineRule="auto"/>
              <w:ind w:right="23"/>
              <w:jc w:val="right"/>
              <w:cnfStyle w:val="100000000000" w:firstRow="1" w:lastRow="0" w:firstColumn="0" w:lastColumn="0" w:oddVBand="0" w:evenVBand="0" w:oddHBand="0" w:evenHBand="0" w:firstRowFirstColumn="0" w:firstRowLastColumn="0" w:lastRowFirstColumn="0" w:lastRowLastColumn="0"/>
              <w:rPr>
                <w:i w:val="0"/>
                <w:color w:val="FFFFFF"/>
              </w:rPr>
            </w:pPr>
            <w:r>
              <w:rPr>
                <w:i w:val="0"/>
                <w:color w:val="FFFFFF"/>
              </w:rPr>
              <w:t>2015</w:t>
            </w:r>
          </w:p>
        </w:tc>
        <w:tc>
          <w:tcPr>
            <w:tcW w:w="692" w:type="dxa"/>
          </w:tcPr>
          <w:p w:rsidR="00B023EA" w:rsidRPr="00E10FCD" w:rsidRDefault="00B023EA" w:rsidP="0097777F">
            <w:pPr>
              <w:spacing w:line="256" w:lineRule="auto"/>
              <w:ind w:right="23"/>
              <w:jc w:val="right"/>
              <w:cnfStyle w:val="100000000000" w:firstRow="1" w:lastRow="0" w:firstColumn="0" w:lastColumn="0" w:oddVBand="0" w:evenVBand="0" w:oddHBand="0" w:evenHBand="0" w:firstRowFirstColumn="0" w:firstRowLastColumn="0" w:lastRowFirstColumn="0" w:lastRowLastColumn="0"/>
              <w:rPr>
                <w:i w:val="0"/>
                <w:color w:val="FFFFFF"/>
              </w:rPr>
            </w:pPr>
            <w:r>
              <w:rPr>
                <w:i w:val="0"/>
                <w:color w:val="FFFFFF"/>
              </w:rPr>
              <w:t>2016</w:t>
            </w:r>
          </w:p>
        </w:tc>
        <w:tc>
          <w:tcPr>
            <w:tcW w:w="692" w:type="dxa"/>
          </w:tcPr>
          <w:p w:rsidR="00B023EA" w:rsidRPr="0093348C" w:rsidRDefault="00B023EA" w:rsidP="0097777F">
            <w:pPr>
              <w:spacing w:line="256" w:lineRule="auto"/>
              <w:ind w:left="42"/>
              <w:jc w:val="right"/>
              <w:cnfStyle w:val="100000000000" w:firstRow="1" w:lastRow="0" w:firstColumn="0" w:lastColumn="0" w:oddVBand="0" w:evenVBand="0" w:oddHBand="0" w:evenHBand="0" w:firstRowFirstColumn="0" w:firstRowLastColumn="0" w:lastRowFirstColumn="0" w:lastRowLastColumn="0"/>
              <w:rPr>
                <w:i w:val="0"/>
              </w:rPr>
            </w:pPr>
            <w:r>
              <w:rPr>
                <w:i w:val="0"/>
              </w:rPr>
              <w:t>2017</w:t>
            </w:r>
          </w:p>
        </w:tc>
      </w:tr>
      <w:tr w:rsidR="00B023EA" w:rsidRPr="00E66AA7" w:rsidTr="0097777F">
        <w:trPr>
          <w:cnfStyle w:val="000000100000" w:firstRow="0" w:lastRow="0" w:firstColumn="0" w:lastColumn="0" w:oddVBand="0" w:evenVBand="0" w:oddHBand="1" w:evenHBand="0" w:firstRowFirstColumn="0" w:firstRowLastColumn="0" w:lastRowFirstColumn="0" w:lastRowLastColumn="0"/>
          <w:trHeight w:val="337"/>
          <w:jc w:val="center"/>
        </w:trPr>
        <w:tc>
          <w:tcPr>
            <w:cnfStyle w:val="001000000000" w:firstRow="0" w:lastRow="0" w:firstColumn="1" w:lastColumn="0" w:oddVBand="0" w:evenVBand="0" w:oddHBand="0" w:evenHBand="0" w:firstRowFirstColumn="0" w:firstRowLastColumn="0" w:lastRowFirstColumn="0" w:lastRowLastColumn="0"/>
            <w:tcW w:w="1541" w:type="dxa"/>
            <w:tcBorders>
              <w:top w:val="nil"/>
              <w:left w:val="nil"/>
              <w:bottom w:val="nil"/>
            </w:tcBorders>
            <w:hideMark/>
          </w:tcPr>
          <w:p w:rsidR="00B023EA" w:rsidRPr="00E66AA7" w:rsidRDefault="00B023EA" w:rsidP="0097777F">
            <w:pPr>
              <w:spacing w:line="256" w:lineRule="auto"/>
              <w:jc w:val="left"/>
              <w:rPr>
                <w:i w:val="0"/>
              </w:rPr>
            </w:pPr>
            <w:r w:rsidRPr="00E66AA7">
              <w:rPr>
                <w:i w:val="0"/>
              </w:rPr>
              <w:t xml:space="preserve">Бр.oболелих </w:t>
            </w:r>
          </w:p>
        </w:tc>
        <w:tc>
          <w:tcPr>
            <w:tcW w:w="692" w:type="dxa"/>
          </w:tcPr>
          <w:p w:rsidR="00B023EA" w:rsidRPr="00E66AA7" w:rsidRDefault="00B023EA" w:rsidP="0097777F">
            <w:pPr>
              <w:spacing w:line="256" w:lineRule="auto"/>
              <w:ind w:right="20"/>
              <w:jc w:val="center"/>
              <w:cnfStyle w:val="000000100000" w:firstRow="0" w:lastRow="0" w:firstColumn="0" w:lastColumn="0" w:oddVBand="0" w:evenVBand="0" w:oddHBand="1" w:evenHBand="0" w:firstRowFirstColumn="0" w:firstRowLastColumn="0" w:lastRowFirstColumn="0" w:lastRowLastColumn="0"/>
            </w:pPr>
            <w:r w:rsidRPr="00E66AA7">
              <w:t xml:space="preserve">15 </w:t>
            </w:r>
          </w:p>
        </w:tc>
        <w:tc>
          <w:tcPr>
            <w:tcW w:w="692" w:type="dxa"/>
          </w:tcPr>
          <w:p w:rsidR="00B023EA" w:rsidRPr="00E66AA7" w:rsidRDefault="00B023EA" w:rsidP="0097777F">
            <w:pPr>
              <w:spacing w:line="256" w:lineRule="auto"/>
              <w:ind w:right="20"/>
              <w:jc w:val="center"/>
              <w:cnfStyle w:val="000000100000" w:firstRow="0" w:lastRow="0" w:firstColumn="0" w:lastColumn="0" w:oddVBand="0" w:evenVBand="0" w:oddHBand="1" w:evenHBand="0" w:firstRowFirstColumn="0" w:firstRowLastColumn="0" w:lastRowFirstColumn="0" w:lastRowLastColumn="0"/>
            </w:pPr>
            <w:r w:rsidRPr="00E66AA7">
              <w:t xml:space="preserve">17 </w:t>
            </w:r>
          </w:p>
        </w:tc>
        <w:tc>
          <w:tcPr>
            <w:tcW w:w="692" w:type="dxa"/>
          </w:tcPr>
          <w:p w:rsidR="00B023EA" w:rsidRPr="00E66AA7" w:rsidRDefault="00B023EA" w:rsidP="0097777F">
            <w:pPr>
              <w:spacing w:line="256" w:lineRule="auto"/>
              <w:ind w:right="21"/>
              <w:jc w:val="center"/>
              <w:cnfStyle w:val="000000100000" w:firstRow="0" w:lastRow="0" w:firstColumn="0" w:lastColumn="0" w:oddVBand="0" w:evenVBand="0" w:oddHBand="1" w:evenHBand="0" w:firstRowFirstColumn="0" w:firstRowLastColumn="0" w:lastRowFirstColumn="0" w:lastRowLastColumn="0"/>
            </w:pPr>
            <w:r w:rsidRPr="00E66AA7">
              <w:t xml:space="preserve">22 </w:t>
            </w:r>
          </w:p>
        </w:tc>
        <w:tc>
          <w:tcPr>
            <w:tcW w:w="692" w:type="dxa"/>
          </w:tcPr>
          <w:p w:rsidR="00B023EA" w:rsidRPr="00E66AA7" w:rsidRDefault="00B023EA" w:rsidP="0097777F">
            <w:pPr>
              <w:spacing w:line="256" w:lineRule="auto"/>
              <w:ind w:right="24"/>
              <w:jc w:val="center"/>
              <w:cnfStyle w:val="000000100000" w:firstRow="0" w:lastRow="0" w:firstColumn="0" w:lastColumn="0" w:oddVBand="0" w:evenVBand="0" w:oddHBand="1" w:evenHBand="0" w:firstRowFirstColumn="0" w:firstRowLastColumn="0" w:lastRowFirstColumn="0" w:lastRowLastColumn="0"/>
            </w:pPr>
            <w:r w:rsidRPr="00E66AA7">
              <w:t xml:space="preserve">8 </w:t>
            </w:r>
          </w:p>
        </w:tc>
        <w:tc>
          <w:tcPr>
            <w:tcW w:w="692" w:type="dxa"/>
          </w:tcPr>
          <w:p w:rsidR="00B023EA" w:rsidRPr="00E66AA7" w:rsidRDefault="00B023EA" w:rsidP="0097777F">
            <w:pPr>
              <w:spacing w:line="256" w:lineRule="auto"/>
              <w:ind w:right="18"/>
              <w:jc w:val="center"/>
              <w:cnfStyle w:val="000000100000" w:firstRow="0" w:lastRow="0" w:firstColumn="0" w:lastColumn="0" w:oddVBand="0" w:evenVBand="0" w:oddHBand="1" w:evenHBand="0" w:firstRowFirstColumn="0" w:firstRowLastColumn="0" w:lastRowFirstColumn="0" w:lastRowLastColumn="0"/>
            </w:pPr>
            <w:r w:rsidRPr="00E66AA7">
              <w:t xml:space="preserve">71 </w:t>
            </w:r>
          </w:p>
        </w:tc>
        <w:tc>
          <w:tcPr>
            <w:tcW w:w="692" w:type="dxa"/>
          </w:tcPr>
          <w:p w:rsidR="00B023EA" w:rsidRPr="00E66AA7" w:rsidRDefault="00B023EA" w:rsidP="0097777F">
            <w:pPr>
              <w:spacing w:line="256" w:lineRule="auto"/>
              <w:ind w:right="18"/>
              <w:jc w:val="center"/>
              <w:cnfStyle w:val="000000100000" w:firstRow="0" w:lastRow="0" w:firstColumn="0" w:lastColumn="0" w:oddVBand="0" w:evenVBand="0" w:oddHBand="1" w:evenHBand="0" w:firstRowFirstColumn="0" w:firstRowLastColumn="0" w:lastRowFirstColumn="0" w:lastRowLastColumn="0"/>
            </w:pPr>
            <w:r w:rsidRPr="00E66AA7">
              <w:t>38</w:t>
            </w:r>
          </w:p>
        </w:tc>
        <w:tc>
          <w:tcPr>
            <w:tcW w:w="692" w:type="dxa"/>
          </w:tcPr>
          <w:p w:rsidR="00B023EA" w:rsidRPr="00E66AA7" w:rsidRDefault="00B023EA" w:rsidP="0097777F">
            <w:pPr>
              <w:spacing w:line="256" w:lineRule="auto"/>
              <w:ind w:right="18"/>
              <w:jc w:val="center"/>
              <w:cnfStyle w:val="000000100000" w:firstRow="0" w:lastRow="0" w:firstColumn="0" w:lastColumn="0" w:oddVBand="0" w:evenVBand="0" w:oddHBand="1" w:evenHBand="0" w:firstRowFirstColumn="0" w:firstRowLastColumn="0" w:lastRowFirstColumn="0" w:lastRowLastColumn="0"/>
            </w:pPr>
            <w:r w:rsidRPr="00E66AA7">
              <w:t>17</w:t>
            </w:r>
          </w:p>
        </w:tc>
        <w:tc>
          <w:tcPr>
            <w:tcW w:w="692" w:type="dxa"/>
          </w:tcPr>
          <w:p w:rsidR="00B023EA" w:rsidRPr="00E66AA7" w:rsidRDefault="00B023EA" w:rsidP="0097777F">
            <w:pPr>
              <w:spacing w:line="256" w:lineRule="auto"/>
              <w:ind w:right="18"/>
              <w:jc w:val="center"/>
              <w:cnfStyle w:val="000000100000" w:firstRow="0" w:lastRow="0" w:firstColumn="0" w:lastColumn="0" w:oddVBand="0" w:evenVBand="0" w:oddHBand="1" w:evenHBand="0" w:firstRowFirstColumn="0" w:firstRowLastColumn="0" w:lastRowFirstColumn="0" w:lastRowLastColumn="0"/>
            </w:pPr>
            <w:r w:rsidRPr="00E66AA7">
              <w:t>25</w:t>
            </w:r>
          </w:p>
        </w:tc>
        <w:tc>
          <w:tcPr>
            <w:tcW w:w="692" w:type="dxa"/>
          </w:tcPr>
          <w:p w:rsidR="00B023EA" w:rsidRPr="00E66AA7" w:rsidRDefault="00B023EA" w:rsidP="0097777F">
            <w:pPr>
              <w:spacing w:line="256" w:lineRule="auto"/>
              <w:ind w:right="18"/>
              <w:jc w:val="center"/>
              <w:cnfStyle w:val="000000100000" w:firstRow="0" w:lastRow="0" w:firstColumn="0" w:lastColumn="0" w:oddVBand="0" w:evenVBand="0" w:oddHBand="1" w:evenHBand="0" w:firstRowFirstColumn="0" w:firstRowLastColumn="0" w:lastRowFirstColumn="0" w:lastRowLastColumn="0"/>
            </w:pPr>
            <w:r w:rsidRPr="00E66AA7">
              <w:t>26</w:t>
            </w:r>
          </w:p>
        </w:tc>
        <w:tc>
          <w:tcPr>
            <w:tcW w:w="692" w:type="dxa"/>
          </w:tcPr>
          <w:p w:rsidR="00B023EA" w:rsidRPr="0093348C" w:rsidRDefault="00B023EA" w:rsidP="0097777F">
            <w:pPr>
              <w:spacing w:line="256" w:lineRule="auto"/>
              <w:ind w:right="21"/>
              <w:jc w:val="center"/>
              <w:cnfStyle w:val="000000100000" w:firstRow="0" w:lastRow="0" w:firstColumn="0" w:lastColumn="0" w:oddVBand="0" w:evenVBand="0" w:oddHBand="1" w:evenHBand="0" w:firstRowFirstColumn="0" w:firstRowLastColumn="0" w:lastRowFirstColumn="0" w:lastRowLastColumn="0"/>
            </w:pPr>
            <w:r>
              <w:t>39</w:t>
            </w:r>
          </w:p>
        </w:tc>
      </w:tr>
      <w:tr w:rsidR="00B023EA" w:rsidRPr="00E66AA7" w:rsidTr="0097777F">
        <w:trPr>
          <w:cnfStyle w:val="000000010000" w:firstRow="0" w:lastRow="0" w:firstColumn="0" w:lastColumn="0" w:oddVBand="0" w:evenVBand="0" w:oddHBand="0" w:evenHBand="1" w:firstRowFirstColumn="0" w:firstRowLastColumn="0" w:lastRowFirstColumn="0" w:lastRowLastColumn="0"/>
          <w:trHeight w:val="264"/>
          <w:jc w:val="center"/>
        </w:trPr>
        <w:tc>
          <w:tcPr>
            <w:cnfStyle w:val="001000000000" w:firstRow="0" w:lastRow="0" w:firstColumn="1" w:lastColumn="0" w:oddVBand="0" w:evenVBand="0" w:oddHBand="0" w:evenHBand="0" w:firstRowFirstColumn="0" w:firstRowLastColumn="0" w:lastRowFirstColumn="0" w:lastRowLastColumn="0"/>
            <w:tcW w:w="1541" w:type="dxa"/>
            <w:tcBorders>
              <w:top w:val="nil"/>
              <w:left w:val="nil"/>
              <w:bottom w:val="nil"/>
            </w:tcBorders>
            <w:hideMark/>
          </w:tcPr>
          <w:p w:rsidR="00B023EA" w:rsidRPr="00E66AA7" w:rsidRDefault="00B023EA" w:rsidP="0097777F">
            <w:pPr>
              <w:spacing w:line="256" w:lineRule="auto"/>
              <w:jc w:val="left"/>
              <w:rPr>
                <w:i w:val="0"/>
                <w:color w:val="auto"/>
              </w:rPr>
            </w:pPr>
            <w:r w:rsidRPr="00E66AA7">
              <w:rPr>
                <w:i w:val="0"/>
                <w:color w:val="auto"/>
              </w:rPr>
              <w:t xml:space="preserve">Инциденција </w:t>
            </w:r>
          </w:p>
        </w:tc>
        <w:tc>
          <w:tcPr>
            <w:tcW w:w="692" w:type="dxa"/>
          </w:tcPr>
          <w:p w:rsidR="00B023EA" w:rsidRPr="00E66AA7" w:rsidRDefault="00B023EA" w:rsidP="0097777F">
            <w:pPr>
              <w:spacing w:line="256" w:lineRule="auto"/>
              <w:ind w:right="18"/>
              <w:jc w:val="center"/>
              <w:cnfStyle w:val="000000010000" w:firstRow="0" w:lastRow="0" w:firstColumn="0" w:lastColumn="0" w:oddVBand="0" w:evenVBand="0" w:oddHBand="0" w:evenHBand="1" w:firstRowFirstColumn="0" w:firstRowLastColumn="0" w:lastRowFirstColumn="0" w:lastRowLastColumn="0"/>
              <w:rPr>
                <w:color w:val="auto"/>
              </w:rPr>
            </w:pPr>
            <w:r w:rsidRPr="00E66AA7">
              <w:rPr>
                <w:color w:val="auto"/>
              </w:rPr>
              <w:t xml:space="preserve">0,7 </w:t>
            </w:r>
          </w:p>
        </w:tc>
        <w:tc>
          <w:tcPr>
            <w:tcW w:w="692" w:type="dxa"/>
          </w:tcPr>
          <w:p w:rsidR="00B023EA" w:rsidRPr="00E66AA7" w:rsidRDefault="00B023EA" w:rsidP="0097777F">
            <w:pPr>
              <w:spacing w:line="256" w:lineRule="auto"/>
              <w:ind w:right="18"/>
              <w:jc w:val="center"/>
              <w:cnfStyle w:val="000000010000" w:firstRow="0" w:lastRow="0" w:firstColumn="0" w:lastColumn="0" w:oddVBand="0" w:evenVBand="0" w:oddHBand="0" w:evenHBand="1" w:firstRowFirstColumn="0" w:firstRowLastColumn="0" w:lastRowFirstColumn="0" w:lastRowLastColumn="0"/>
              <w:rPr>
                <w:color w:val="auto"/>
              </w:rPr>
            </w:pPr>
            <w:r w:rsidRPr="00E66AA7">
              <w:rPr>
                <w:color w:val="auto"/>
              </w:rPr>
              <w:t xml:space="preserve">0,8 </w:t>
            </w:r>
          </w:p>
        </w:tc>
        <w:tc>
          <w:tcPr>
            <w:tcW w:w="692" w:type="dxa"/>
          </w:tcPr>
          <w:p w:rsidR="00B023EA" w:rsidRPr="00E66AA7" w:rsidRDefault="00B023EA" w:rsidP="0097777F">
            <w:pPr>
              <w:spacing w:line="256" w:lineRule="auto"/>
              <w:ind w:right="19"/>
              <w:jc w:val="center"/>
              <w:cnfStyle w:val="000000010000" w:firstRow="0" w:lastRow="0" w:firstColumn="0" w:lastColumn="0" w:oddVBand="0" w:evenVBand="0" w:oddHBand="0" w:evenHBand="1" w:firstRowFirstColumn="0" w:firstRowLastColumn="0" w:lastRowFirstColumn="0" w:lastRowLastColumn="0"/>
              <w:rPr>
                <w:color w:val="auto"/>
              </w:rPr>
            </w:pPr>
            <w:r w:rsidRPr="00E66AA7">
              <w:rPr>
                <w:color w:val="auto"/>
              </w:rPr>
              <w:t xml:space="preserve">1,1 </w:t>
            </w:r>
          </w:p>
        </w:tc>
        <w:tc>
          <w:tcPr>
            <w:tcW w:w="692" w:type="dxa"/>
          </w:tcPr>
          <w:p w:rsidR="00B023EA" w:rsidRPr="00E66AA7" w:rsidRDefault="00B023EA" w:rsidP="0097777F">
            <w:pPr>
              <w:spacing w:line="256" w:lineRule="auto"/>
              <w:ind w:right="22"/>
              <w:jc w:val="center"/>
              <w:cnfStyle w:val="000000010000" w:firstRow="0" w:lastRow="0" w:firstColumn="0" w:lastColumn="0" w:oddVBand="0" w:evenVBand="0" w:oddHBand="0" w:evenHBand="1" w:firstRowFirstColumn="0" w:firstRowLastColumn="0" w:lastRowFirstColumn="0" w:lastRowLastColumn="0"/>
              <w:rPr>
                <w:color w:val="auto"/>
              </w:rPr>
            </w:pPr>
            <w:r w:rsidRPr="00E66AA7">
              <w:rPr>
                <w:color w:val="auto"/>
              </w:rPr>
              <w:t xml:space="preserve">0,4 </w:t>
            </w:r>
          </w:p>
        </w:tc>
        <w:tc>
          <w:tcPr>
            <w:tcW w:w="692" w:type="dxa"/>
          </w:tcPr>
          <w:p w:rsidR="00B023EA" w:rsidRPr="00E66AA7" w:rsidRDefault="00B023EA" w:rsidP="0097777F">
            <w:pPr>
              <w:spacing w:line="256" w:lineRule="auto"/>
              <w:ind w:right="18"/>
              <w:jc w:val="center"/>
              <w:cnfStyle w:val="000000010000" w:firstRow="0" w:lastRow="0" w:firstColumn="0" w:lastColumn="0" w:oddVBand="0" w:evenVBand="0" w:oddHBand="0" w:evenHBand="1" w:firstRowFirstColumn="0" w:firstRowLastColumn="0" w:lastRowFirstColumn="0" w:lastRowLastColumn="0"/>
              <w:rPr>
                <w:color w:val="auto"/>
              </w:rPr>
            </w:pPr>
            <w:r w:rsidRPr="00E66AA7">
              <w:rPr>
                <w:color w:val="auto"/>
              </w:rPr>
              <w:t xml:space="preserve">3,7 </w:t>
            </w:r>
          </w:p>
        </w:tc>
        <w:tc>
          <w:tcPr>
            <w:tcW w:w="692" w:type="dxa"/>
          </w:tcPr>
          <w:p w:rsidR="00B023EA" w:rsidRPr="00E66AA7" w:rsidRDefault="00B023EA" w:rsidP="0097777F">
            <w:pPr>
              <w:spacing w:line="256" w:lineRule="auto"/>
              <w:ind w:right="21"/>
              <w:jc w:val="center"/>
              <w:cnfStyle w:val="000000010000" w:firstRow="0" w:lastRow="0" w:firstColumn="0" w:lastColumn="0" w:oddVBand="0" w:evenVBand="0" w:oddHBand="0" w:evenHBand="1" w:firstRowFirstColumn="0" w:firstRowLastColumn="0" w:lastRowFirstColumn="0" w:lastRowLastColumn="0"/>
              <w:rPr>
                <w:color w:val="auto"/>
              </w:rPr>
            </w:pPr>
            <w:r w:rsidRPr="00E66AA7">
              <w:rPr>
                <w:color w:val="auto"/>
              </w:rPr>
              <w:t xml:space="preserve">1,9 </w:t>
            </w:r>
          </w:p>
        </w:tc>
        <w:tc>
          <w:tcPr>
            <w:tcW w:w="692" w:type="dxa"/>
          </w:tcPr>
          <w:p w:rsidR="00B023EA" w:rsidRPr="00E66AA7" w:rsidRDefault="00B023EA" w:rsidP="0097777F">
            <w:pPr>
              <w:spacing w:line="256" w:lineRule="auto"/>
              <w:ind w:right="21"/>
              <w:jc w:val="center"/>
              <w:cnfStyle w:val="000000010000" w:firstRow="0" w:lastRow="0" w:firstColumn="0" w:lastColumn="0" w:oddVBand="0" w:evenVBand="0" w:oddHBand="0" w:evenHBand="1" w:firstRowFirstColumn="0" w:firstRowLastColumn="0" w:lastRowFirstColumn="0" w:lastRowLastColumn="0"/>
              <w:rPr>
                <w:color w:val="auto"/>
              </w:rPr>
            </w:pPr>
            <w:r w:rsidRPr="00E66AA7">
              <w:rPr>
                <w:color w:val="auto"/>
              </w:rPr>
              <w:t>0,9</w:t>
            </w:r>
          </w:p>
        </w:tc>
        <w:tc>
          <w:tcPr>
            <w:tcW w:w="692" w:type="dxa"/>
          </w:tcPr>
          <w:p w:rsidR="00B023EA" w:rsidRPr="00E66AA7" w:rsidRDefault="00B023EA" w:rsidP="0097777F">
            <w:pPr>
              <w:spacing w:line="256" w:lineRule="auto"/>
              <w:ind w:right="21"/>
              <w:jc w:val="center"/>
              <w:cnfStyle w:val="000000010000" w:firstRow="0" w:lastRow="0" w:firstColumn="0" w:lastColumn="0" w:oddVBand="0" w:evenVBand="0" w:oddHBand="0" w:evenHBand="1" w:firstRowFirstColumn="0" w:firstRowLastColumn="0" w:lastRowFirstColumn="0" w:lastRowLastColumn="0"/>
              <w:rPr>
                <w:color w:val="auto"/>
              </w:rPr>
            </w:pPr>
            <w:r w:rsidRPr="00E66AA7">
              <w:rPr>
                <w:color w:val="auto"/>
              </w:rPr>
              <w:t>1,3</w:t>
            </w:r>
          </w:p>
        </w:tc>
        <w:tc>
          <w:tcPr>
            <w:tcW w:w="692" w:type="dxa"/>
          </w:tcPr>
          <w:p w:rsidR="00B023EA" w:rsidRPr="00E66AA7" w:rsidRDefault="00B023EA" w:rsidP="0097777F">
            <w:pPr>
              <w:spacing w:line="256" w:lineRule="auto"/>
              <w:ind w:right="21"/>
              <w:jc w:val="center"/>
              <w:cnfStyle w:val="000000010000" w:firstRow="0" w:lastRow="0" w:firstColumn="0" w:lastColumn="0" w:oddVBand="0" w:evenVBand="0" w:oddHBand="0" w:evenHBand="1" w:firstRowFirstColumn="0" w:firstRowLastColumn="0" w:lastRowFirstColumn="0" w:lastRowLastColumn="0"/>
              <w:rPr>
                <w:color w:val="auto"/>
              </w:rPr>
            </w:pPr>
            <w:r w:rsidRPr="00E66AA7">
              <w:rPr>
                <w:color w:val="auto"/>
              </w:rPr>
              <w:t>1,4</w:t>
            </w:r>
          </w:p>
        </w:tc>
        <w:tc>
          <w:tcPr>
            <w:tcW w:w="692" w:type="dxa"/>
            <w:hideMark/>
          </w:tcPr>
          <w:p w:rsidR="00B023EA" w:rsidRPr="0093348C" w:rsidRDefault="00B023EA" w:rsidP="0097777F">
            <w:pPr>
              <w:spacing w:line="256" w:lineRule="auto"/>
              <w:ind w:right="19"/>
              <w:jc w:val="center"/>
              <w:cnfStyle w:val="000000010000" w:firstRow="0" w:lastRow="0" w:firstColumn="0" w:lastColumn="0" w:oddVBand="0" w:evenVBand="0" w:oddHBand="0" w:evenHBand="1" w:firstRowFirstColumn="0" w:firstRowLastColumn="0" w:lastRowFirstColumn="0" w:lastRowLastColumn="0"/>
              <w:rPr>
                <w:color w:val="auto"/>
              </w:rPr>
            </w:pPr>
            <w:r>
              <w:rPr>
                <w:color w:val="auto"/>
              </w:rPr>
              <w:t>2,0</w:t>
            </w:r>
          </w:p>
        </w:tc>
      </w:tr>
    </w:tbl>
    <w:p w:rsidR="00B023EA" w:rsidRPr="00E66AA7" w:rsidRDefault="00B023EA" w:rsidP="00B023EA">
      <w:pPr>
        <w:spacing w:after="23" w:line="256" w:lineRule="auto"/>
        <w:jc w:val="left"/>
      </w:pPr>
      <w:r w:rsidRPr="00E66AA7">
        <w:t xml:space="preserve"> </w:t>
      </w:r>
    </w:p>
    <w:p w:rsidR="00323910" w:rsidRDefault="00323910" w:rsidP="00B03CC0">
      <w:pPr>
        <w:rPr>
          <w:rFonts w:asciiTheme="majorHAnsi" w:eastAsia="MetaPro-Book" w:hAnsiTheme="majorHAnsi" w:cs="MetaPro-Book"/>
          <w:lang w:val="sr-Cyrl-CS"/>
        </w:rPr>
      </w:pPr>
      <w:r w:rsidRPr="006C306F">
        <w:rPr>
          <w:rFonts w:asciiTheme="majorHAnsi" w:eastAsia="MetaPro-Book" w:hAnsiTheme="majorHAnsi" w:cs="MetaPro-Book"/>
          <w:lang w:val="sr-Cyrl-CS"/>
        </w:rPr>
        <w:t>Инциденција болести у Покрајини у периоду надзора у целини има опадајући тренд уз повремене</w:t>
      </w:r>
      <w:r>
        <w:rPr>
          <w:rFonts w:asciiTheme="majorHAnsi" w:eastAsia="MetaPro-Book" w:hAnsiTheme="majorHAnsi" w:cs="MetaPro-Book"/>
          <w:lang w:val="sr-Cyrl-CS"/>
        </w:rPr>
        <w:t xml:space="preserve"> пикове у епидемијским годинама. </w:t>
      </w:r>
      <w:r w:rsidRPr="006C306F">
        <w:rPr>
          <w:rFonts w:asciiTheme="majorHAnsi" w:eastAsia="MetaPro-Book" w:hAnsiTheme="majorHAnsi" w:cs="MetaPro-Book"/>
          <w:lang w:val="sr-Cyrl-CS"/>
        </w:rPr>
        <w:t>Едукација држаоца животиња у погледу примене биосигурносних мера</w:t>
      </w:r>
      <w:r>
        <w:rPr>
          <w:rFonts w:asciiTheme="majorHAnsi" w:eastAsia="MetaPro-Book" w:hAnsiTheme="majorHAnsi" w:cs="MetaPro-Book"/>
          <w:lang w:val="sr-Cyrl-CS"/>
        </w:rPr>
        <w:t xml:space="preserve"> при контакту са животињама</w:t>
      </w:r>
      <w:r w:rsidRPr="006C306F">
        <w:rPr>
          <w:rFonts w:asciiTheme="majorHAnsi" w:eastAsia="MetaPro-Book" w:hAnsiTheme="majorHAnsi" w:cs="MetaPro-Book"/>
          <w:lang w:val="sr-Cyrl-CS"/>
        </w:rPr>
        <w:t>, правилна диспозиција анималног отпада као и едукација лекара у поглед</w:t>
      </w:r>
      <w:r w:rsidRPr="00B41512">
        <w:rPr>
          <w:rFonts w:asciiTheme="majorHAnsi" w:eastAsia="MetaPro-Book" w:hAnsiTheme="majorHAnsi" w:cs="MetaPro-Book"/>
          <w:lang w:val="sr-Cyrl-CS"/>
        </w:rPr>
        <w:t>у боље</w:t>
      </w:r>
      <w:r w:rsidRPr="006C306F">
        <w:rPr>
          <w:rFonts w:asciiTheme="majorHAnsi" w:eastAsia="MetaPro-Book" w:hAnsiTheme="majorHAnsi" w:cs="MetaPro-Book"/>
          <w:lang w:val="sr-Cyrl-CS"/>
        </w:rPr>
        <w:t xml:space="preserve"> дијагностике и лечења кју грознице може допринети </w:t>
      </w:r>
      <w:r>
        <w:rPr>
          <w:rFonts w:asciiTheme="majorHAnsi" w:eastAsia="MetaPro-Book" w:hAnsiTheme="majorHAnsi" w:cs="MetaPro-Book"/>
          <w:lang w:val="sr-Cyrl-CS"/>
        </w:rPr>
        <w:t xml:space="preserve">бољој </w:t>
      </w:r>
      <w:r w:rsidRPr="006C306F">
        <w:rPr>
          <w:rFonts w:asciiTheme="majorHAnsi" w:eastAsia="MetaPro-Book" w:hAnsiTheme="majorHAnsi" w:cs="MetaPro-Book"/>
          <w:lang w:val="sr-Cyrl-CS"/>
        </w:rPr>
        <w:t>ко</w:t>
      </w:r>
      <w:r>
        <w:rPr>
          <w:rFonts w:asciiTheme="majorHAnsi" w:eastAsia="MetaPro-Book" w:hAnsiTheme="majorHAnsi" w:cs="MetaPro-Book"/>
          <w:lang w:val="sr-Cyrl-CS"/>
        </w:rPr>
        <w:t>нтроли и превенцији ове болести</w:t>
      </w:r>
      <w:r w:rsidRPr="006C306F">
        <w:rPr>
          <w:rFonts w:asciiTheme="majorHAnsi" w:eastAsia="MetaPro-Book" w:hAnsiTheme="majorHAnsi" w:cs="MetaPro-Book"/>
          <w:lang w:val="sr-Cyrl-CS"/>
        </w:rPr>
        <w:t>.</w:t>
      </w:r>
    </w:p>
    <w:p w:rsidR="00323910" w:rsidRDefault="00323910" w:rsidP="00B03CC0">
      <w:pPr>
        <w:rPr>
          <w:rFonts w:asciiTheme="majorHAnsi" w:eastAsia="MetaPro-Book" w:hAnsiTheme="majorHAnsi" w:cs="MetaPro-Book"/>
          <w:lang w:val="sr-Cyrl-CS"/>
        </w:rPr>
      </w:pPr>
    </w:p>
    <w:p w:rsidR="00D848C8" w:rsidRPr="009254FB" w:rsidRDefault="00D848C8" w:rsidP="00B03CC0">
      <w:pPr>
        <w:rPr>
          <w:rFonts w:ascii="Century Gothic" w:hAnsi="Century Gothic"/>
          <w:b/>
          <w:sz w:val="22"/>
          <w:szCs w:val="22"/>
        </w:rPr>
      </w:pPr>
      <w:r w:rsidRPr="009254FB">
        <w:rPr>
          <w:rFonts w:ascii="Century Gothic" w:hAnsi="Century Gothic"/>
          <w:b/>
          <w:sz w:val="22"/>
          <w:szCs w:val="22"/>
        </w:rPr>
        <w:lastRenderedPageBreak/>
        <w:t>Литература:</w:t>
      </w:r>
    </w:p>
    <w:p w:rsidR="00C07D6B" w:rsidRPr="00C66E51" w:rsidRDefault="00C07D6B" w:rsidP="00C07D6B">
      <w:pPr>
        <w:rPr>
          <w:rFonts w:ascii="Century Gothic" w:hAnsi="Century Gothic"/>
          <w:szCs w:val="20"/>
        </w:rPr>
      </w:pPr>
      <w:r w:rsidRPr="00C66E51">
        <w:rPr>
          <w:rFonts w:ascii="Century Gothic" w:hAnsi="Century Gothic"/>
          <w:szCs w:val="20"/>
        </w:rPr>
        <w:t xml:space="preserve">Заразне болести у АП Војводини </w:t>
      </w:r>
      <w:r w:rsidRPr="00C66E51">
        <w:rPr>
          <w:rFonts w:ascii="Century Gothic" w:hAnsi="Century Gothic"/>
          <w:szCs w:val="20"/>
          <w:lang w:val="sr-Cyrl-RS"/>
        </w:rPr>
        <w:t xml:space="preserve">2008, 2009, 2010, 2011, 2012, 2013, 2014, 2015, </w:t>
      </w:r>
      <w:r w:rsidRPr="00C66E51">
        <w:rPr>
          <w:rFonts w:ascii="Century Gothic" w:hAnsi="Century Gothic"/>
          <w:szCs w:val="20"/>
        </w:rPr>
        <w:t xml:space="preserve">2016 и 2017 године, Институт за јавно здравље Војводине, </w:t>
      </w:r>
      <w:r w:rsidRPr="00C66E51">
        <w:rPr>
          <w:rFonts w:ascii="Century Gothic" w:hAnsi="Century Gothic"/>
          <w:szCs w:val="20"/>
          <w:lang w:val="sr-Cyrl-RS"/>
        </w:rPr>
        <w:t>2009-</w:t>
      </w:r>
      <w:r w:rsidRPr="00C66E51">
        <w:rPr>
          <w:rFonts w:ascii="Century Gothic" w:hAnsi="Century Gothic"/>
          <w:szCs w:val="20"/>
        </w:rPr>
        <w:t>2018.</w:t>
      </w:r>
    </w:p>
    <w:sectPr w:rsidR="00C07D6B" w:rsidRPr="00C66E51" w:rsidSect="0000414E">
      <w:headerReference w:type="default" r:id="rId13"/>
      <w:footerReference w:type="default" r:id="rId14"/>
      <w:footnotePr>
        <w:numRestart w:val="eachPage"/>
      </w:footnotePr>
      <w:type w:val="continuous"/>
      <w:pgSz w:w="11906" w:h="16838" w:code="9"/>
      <w:pgMar w:top="567" w:right="1077" w:bottom="964" w:left="1418" w:header="720" w:footer="0" w:gutter="0"/>
      <w:pgBorders w:offsetFrom="page">
        <w:right w:val="single" w:sz="4" w:space="24" w:color="FFFFFF" w:themeColor="background1"/>
      </w:pgBorders>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451" w:rsidRDefault="005D1451" w:rsidP="006A6958">
      <w:pPr>
        <w:spacing w:after="0" w:line="240" w:lineRule="auto"/>
      </w:pPr>
      <w:r>
        <w:separator/>
      </w:r>
    </w:p>
    <w:p w:rsidR="005D1451" w:rsidRDefault="005D1451"/>
    <w:p w:rsidR="005D1451" w:rsidRDefault="005D1451"/>
  </w:endnote>
  <w:endnote w:type="continuationSeparator" w:id="0">
    <w:p w:rsidR="005D1451" w:rsidRDefault="005D1451" w:rsidP="006A6958">
      <w:pPr>
        <w:spacing w:after="0" w:line="240" w:lineRule="auto"/>
      </w:pPr>
      <w:r>
        <w:continuationSeparator/>
      </w:r>
    </w:p>
    <w:p w:rsidR="005D1451" w:rsidRDefault="005D1451"/>
    <w:p w:rsidR="005D1451" w:rsidRDefault="005D14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etaPro-Book">
    <w:panose1 w:val="00000000000000000000"/>
    <w:charset w:val="00"/>
    <w:family w:val="modern"/>
    <w:notTrueType/>
    <w:pitch w:val="variable"/>
    <w:sig w:usb0="800002AF" w:usb1="4000206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390692150"/>
      <w:docPartObj>
        <w:docPartGallery w:val="Page Numbers (Bottom of Page)"/>
        <w:docPartUnique/>
      </w:docPartObj>
    </w:sdtPr>
    <w:sdtEndPr>
      <w:rPr>
        <w:noProof/>
      </w:rPr>
    </w:sdtEndPr>
    <w:sdtContent>
      <w:p w:rsidR="00015B9F" w:rsidRDefault="00015B9F">
        <w:pPr>
          <w:pStyle w:val="Footer"/>
          <w:jc w:val="center"/>
        </w:pPr>
        <w:r>
          <w:rPr>
            <w:noProof w:val="0"/>
          </w:rPr>
          <w:fldChar w:fldCharType="begin"/>
        </w:r>
        <w:r>
          <w:instrText xml:space="preserve"> PAGE   \* MERGEFORMAT </w:instrText>
        </w:r>
        <w:r>
          <w:rPr>
            <w:noProof w:val="0"/>
          </w:rPr>
          <w:fldChar w:fldCharType="separate"/>
        </w:r>
        <w:r w:rsidR="00617853">
          <w:t>11</w:t>
        </w:r>
        <w:r>
          <w:fldChar w:fldCharType="end"/>
        </w:r>
      </w:p>
    </w:sdtContent>
  </w:sdt>
  <w:p w:rsidR="00015B9F" w:rsidRDefault="00015B9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451" w:rsidRDefault="005D1451" w:rsidP="006A6958">
      <w:pPr>
        <w:spacing w:after="0" w:line="240" w:lineRule="auto"/>
      </w:pPr>
      <w:r>
        <w:separator/>
      </w:r>
    </w:p>
    <w:p w:rsidR="005D1451" w:rsidRDefault="005D1451"/>
    <w:p w:rsidR="005D1451" w:rsidRDefault="005D1451"/>
  </w:footnote>
  <w:footnote w:type="continuationSeparator" w:id="0">
    <w:p w:rsidR="005D1451" w:rsidRDefault="005D1451" w:rsidP="006A6958">
      <w:pPr>
        <w:spacing w:after="0" w:line="240" w:lineRule="auto"/>
      </w:pPr>
      <w:r>
        <w:continuationSeparator/>
      </w:r>
    </w:p>
    <w:p w:rsidR="005D1451" w:rsidRDefault="005D1451"/>
    <w:p w:rsidR="005D1451" w:rsidRDefault="005D145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B9F" w:rsidRDefault="00015B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69EF67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DEC805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B104D0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3F2A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7862A4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FC26C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2DB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616769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C808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3D6927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C7D67"/>
    <w:multiLevelType w:val="hybridMultilevel"/>
    <w:tmpl w:val="32EE4C62"/>
    <w:lvl w:ilvl="0" w:tplc="A56A806E">
      <w:start w:val="1"/>
      <w:numFmt w:val="bullet"/>
      <w:lvlText w:val="•"/>
      <w:lvlJc w:val="left"/>
      <w:pPr>
        <w:tabs>
          <w:tab w:val="num" w:pos="720"/>
        </w:tabs>
        <w:ind w:left="720" w:hanging="360"/>
      </w:pPr>
      <w:rPr>
        <w:rFonts w:ascii="Arial" w:hAnsi="Arial" w:hint="default"/>
      </w:rPr>
    </w:lvl>
    <w:lvl w:ilvl="1" w:tplc="950C5AF4" w:tentative="1">
      <w:start w:val="1"/>
      <w:numFmt w:val="bullet"/>
      <w:lvlText w:val="•"/>
      <w:lvlJc w:val="left"/>
      <w:pPr>
        <w:tabs>
          <w:tab w:val="num" w:pos="1440"/>
        </w:tabs>
        <w:ind w:left="1440" w:hanging="360"/>
      </w:pPr>
      <w:rPr>
        <w:rFonts w:ascii="Arial" w:hAnsi="Arial" w:hint="default"/>
      </w:rPr>
    </w:lvl>
    <w:lvl w:ilvl="2" w:tplc="A8FA2A86" w:tentative="1">
      <w:start w:val="1"/>
      <w:numFmt w:val="bullet"/>
      <w:lvlText w:val="•"/>
      <w:lvlJc w:val="left"/>
      <w:pPr>
        <w:tabs>
          <w:tab w:val="num" w:pos="2160"/>
        </w:tabs>
        <w:ind w:left="2160" w:hanging="360"/>
      </w:pPr>
      <w:rPr>
        <w:rFonts w:ascii="Arial" w:hAnsi="Arial" w:hint="default"/>
      </w:rPr>
    </w:lvl>
    <w:lvl w:ilvl="3" w:tplc="DD1E42E6" w:tentative="1">
      <w:start w:val="1"/>
      <w:numFmt w:val="bullet"/>
      <w:lvlText w:val="•"/>
      <w:lvlJc w:val="left"/>
      <w:pPr>
        <w:tabs>
          <w:tab w:val="num" w:pos="2880"/>
        </w:tabs>
        <w:ind w:left="2880" w:hanging="360"/>
      </w:pPr>
      <w:rPr>
        <w:rFonts w:ascii="Arial" w:hAnsi="Arial" w:hint="default"/>
      </w:rPr>
    </w:lvl>
    <w:lvl w:ilvl="4" w:tplc="E358274E" w:tentative="1">
      <w:start w:val="1"/>
      <w:numFmt w:val="bullet"/>
      <w:lvlText w:val="•"/>
      <w:lvlJc w:val="left"/>
      <w:pPr>
        <w:tabs>
          <w:tab w:val="num" w:pos="3600"/>
        </w:tabs>
        <w:ind w:left="3600" w:hanging="360"/>
      </w:pPr>
      <w:rPr>
        <w:rFonts w:ascii="Arial" w:hAnsi="Arial" w:hint="default"/>
      </w:rPr>
    </w:lvl>
    <w:lvl w:ilvl="5" w:tplc="64F45090" w:tentative="1">
      <w:start w:val="1"/>
      <w:numFmt w:val="bullet"/>
      <w:lvlText w:val="•"/>
      <w:lvlJc w:val="left"/>
      <w:pPr>
        <w:tabs>
          <w:tab w:val="num" w:pos="4320"/>
        </w:tabs>
        <w:ind w:left="4320" w:hanging="360"/>
      </w:pPr>
      <w:rPr>
        <w:rFonts w:ascii="Arial" w:hAnsi="Arial" w:hint="default"/>
      </w:rPr>
    </w:lvl>
    <w:lvl w:ilvl="6" w:tplc="281052A8" w:tentative="1">
      <w:start w:val="1"/>
      <w:numFmt w:val="bullet"/>
      <w:lvlText w:val="•"/>
      <w:lvlJc w:val="left"/>
      <w:pPr>
        <w:tabs>
          <w:tab w:val="num" w:pos="5040"/>
        </w:tabs>
        <w:ind w:left="5040" w:hanging="360"/>
      </w:pPr>
      <w:rPr>
        <w:rFonts w:ascii="Arial" w:hAnsi="Arial" w:hint="default"/>
      </w:rPr>
    </w:lvl>
    <w:lvl w:ilvl="7" w:tplc="84E24C02" w:tentative="1">
      <w:start w:val="1"/>
      <w:numFmt w:val="bullet"/>
      <w:lvlText w:val="•"/>
      <w:lvlJc w:val="left"/>
      <w:pPr>
        <w:tabs>
          <w:tab w:val="num" w:pos="5760"/>
        </w:tabs>
        <w:ind w:left="5760" w:hanging="360"/>
      </w:pPr>
      <w:rPr>
        <w:rFonts w:ascii="Arial" w:hAnsi="Arial" w:hint="default"/>
      </w:rPr>
    </w:lvl>
    <w:lvl w:ilvl="8" w:tplc="55261D7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82C34C0"/>
    <w:multiLevelType w:val="hybridMultilevel"/>
    <w:tmpl w:val="A7C0F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6718E8"/>
    <w:multiLevelType w:val="hybridMultilevel"/>
    <w:tmpl w:val="56A2F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112748"/>
    <w:multiLevelType w:val="hybridMultilevel"/>
    <w:tmpl w:val="F5EACE0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14F4144E"/>
    <w:multiLevelType w:val="hybridMultilevel"/>
    <w:tmpl w:val="2EFA75A8"/>
    <w:lvl w:ilvl="0" w:tplc="25800BBC">
      <w:start w:val="1"/>
      <w:numFmt w:val="bullet"/>
      <w:lvlText w:val=""/>
      <w:lvlJc w:val="left"/>
      <w:pPr>
        <w:tabs>
          <w:tab w:val="num" w:pos="720"/>
        </w:tabs>
        <w:ind w:left="720" w:hanging="360"/>
      </w:pPr>
      <w:rPr>
        <w:rFonts w:ascii="Wingdings" w:hAnsi="Wingdings" w:hint="default"/>
      </w:rPr>
    </w:lvl>
    <w:lvl w:ilvl="1" w:tplc="6A64137A" w:tentative="1">
      <w:start w:val="1"/>
      <w:numFmt w:val="bullet"/>
      <w:lvlText w:val=""/>
      <w:lvlJc w:val="left"/>
      <w:pPr>
        <w:tabs>
          <w:tab w:val="num" w:pos="1440"/>
        </w:tabs>
        <w:ind w:left="1440" w:hanging="360"/>
      </w:pPr>
      <w:rPr>
        <w:rFonts w:ascii="Wingdings" w:hAnsi="Wingdings" w:hint="default"/>
      </w:rPr>
    </w:lvl>
    <w:lvl w:ilvl="2" w:tplc="9D5A0082" w:tentative="1">
      <w:start w:val="1"/>
      <w:numFmt w:val="bullet"/>
      <w:lvlText w:val=""/>
      <w:lvlJc w:val="left"/>
      <w:pPr>
        <w:tabs>
          <w:tab w:val="num" w:pos="2160"/>
        </w:tabs>
        <w:ind w:left="2160" w:hanging="360"/>
      </w:pPr>
      <w:rPr>
        <w:rFonts w:ascii="Wingdings" w:hAnsi="Wingdings" w:hint="default"/>
      </w:rPr>
    </w:lvl>
    <w:lvl w:ilvl="3" w:tplc="C7B2B28A" w:tentative="1">
      <w:start w:val="1"/>
      <w:numFmt w:val="bullet"/>
      <w:lvlText w:val=""/>
      <w:lvlJc w:val="left"/>
      <w:pPr>
        <w:tabs>
          <w:tab w:val="num" w:pos="2880"/>
        </w:tabs>
        <w:ind w:left="2880" w:hanging="360"/>
      </w:pPr>
      <w:rPr>
        <w:rFonts w:ascii="Wingdings" w:hAnsi="Wingdings" w:hint="default"/>
      </w:rPr>
    </w:lvl>
    <w:lvl w:ilvl="4" w:tplc="FF7E20F8" w:tentative="1">
      <w:start w:val="1"/>
      <w:numFmt w:val="bullet"/>
      <w:lvlText w:val=""/>
      <w:lvlJc w:val="left"/>
      <w:pPr>
        <w:tabs>
          <w:tab w:val="num" w:pos="3600"/>
        </w:tabs>
        <w:ind w:left="3600" w:hanging="360"/>
      </w:pPr>
      <w:rPr>
        <w:rFonts w:ascii="Wingdings" w:hAnsi="Wingdings" w:hint="default"/>
      </w:rPr>
    </w:lvl>
    <w:lvl w:ilvl="5" w:tplc="34E8FACE" w:tentative="1">
      <w:start w:val="1"/>
      <w:numFmt w:val="bullet"/>
      <w:lvlText w:val=""/>
      <w:lvlJc w:val="left"/>
      <w:pPr>
        <w:tabs>
          <w:tab w:val="num" w:pos="4320"/>
        </w:tabs>
        <w:ind w:left="4320" w:hanging="360"/>
      </w:pPr>
      <w:rPr>
        <w:rFonts w:ascii="Wingdings" w:hAnsi="Wingdings" w:hint="default"/>
      </w:rPr>
    </w:lvl>
    <w:lvl w:ilvl="6" w:tplc="54E065D8" w:tentative="1">
      <w:start w:val="1"/>
      <w:numFmt w:val="bullet"/>
      <w:lvlText w:val=""/>
      <w:lvlJc w:val="left"/>
      <w:pPr>
        <w:tabs>
          <w:tab w:val="num" w:pos="5040"/>
        </w:tabs>
        <w:ind w:left="5040" w:hanging="360"/>
      </w:pPr>
      <w:rPr>
        <w:rFonts w:ascii="Wingdings" w:hAnsi="Wingdings" w:hint="default"/>
      </w:rPr>
    </w:lvl>
    <w:lvl w:ilvl="7" w:tplc="AA5C16C8" w:tentative="1">
      <w:start w:val="1"/>
      <w:numFmt w:val="bullet"/>
      <w:lvlText w:val=""/>
      <w:lvlJc w:val="left"/>
      <w:pPr>
        <w:tabs>
          <w:tab w:val="num" w:pos="5760"/>
        </w:tabs>
        <w:ind w:left="5760" w:hanging="360"/>
      </w:pPr>
      <w:rPr>
        <w:rFonts w:ascii="Wingdings" w:hAnsi="Wingdings" w:hint="default"/>
      </w:rPr>
    </w:lvl>
    <w:lvl w:ilvl="8" w:tplc="4044FE0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7596806"/>
    <w:multiLevelType w:val="hybridMultilevel"/>
    <w:tmpl w:val="EAB83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FD6F22"/>
    <w:multiLevelType w:val="hybridMultilevel"/>
    <w:tmpl w:val="73145F3A"/>
    <w:lvl w:ilvl="0" w:tplc="B7A274A8">
      <w:start w:val="1"/>
      <w:numFmt w:val="bullet"/>
      <w:lvlText w:val="•"/>
      <w:lvlJc w:val="left"/>
      <w:pPr>
        <w:ind w:left="8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BFC4F30">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9AA2B8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8EA0F6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F03C1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A286F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7E4EE4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12CE2F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E4C384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C6D3E4A"/>
    <w:multiLevelType w:val="hybridMultilevel"/>
    <w:tmpl w:val="C204A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1A30E0"/>
    <w:multiLevelType w:val="hybridMultilevel"/>
    <w:tmpl w:val="62945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F0377E"/>
    <w:multiLevelType w:val="hybridMultilevel"/>
    <w:tmpl w:val="4B0C8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DB25C8"/>
    <w:multiLevelType w:val="hybridMultilevel"/>
    <w:tmpl w:val="F45CF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D06DF4"/>
    <w:multiLevelType w:val="hybridMultilevel"/>
    <w:tmpl w:val="B4A25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2A73EA"/>
    <w:multiLevelType w:val="hybridMultilevel"/>
    <w:tmpl w:val="475ADF66"/>
    <w:lvl w:ilvl="0" w:tplc="03064E78">
      <w:start w:val="1"/>
      <w:numFmt w:val="decimal"/>
      <w:lvlText w:val="%1."/>
      <w:lvlJc w:val="left"/>
      <w:pPr>
        <w:ind w:left="8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7ACCAC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34A74B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1222ED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32E7E78">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6EEDE2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13AC9CC">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282280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52474C4">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64A5137"/>
    <w:multiLevelType w:val="hybridMultilevel"/>
    <w:tmpl w:val="E4760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E867D8"/>
    <w:multiLevelType w:val="hybridMultilevel"/>
    <w:tmpl w:val="22D22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772254"/>
    <w:multiLevelType w:val="hybridMultilevel"/>
    <w:tmpl w:val="6B926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584A68"/>
    <w:multiLevelType w:val="hybridMultilevel"/>
    <w:tmpl w:val="97226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300A71"/>
    <w:multiLevelType w:val="hybridMultilevel"/>
    <w:tmpl w:val="8242C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2951C0"/>
    <w:multiLevelType w:val="hybridMultilevel"/>
    <w:tmpl w:val="2ED87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BA5B20"/>
    <w:multiLevelType w:val="hybridMultilevel"/>
    <w:tmpl w:val="30D25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134D30"/>
    <w:multiLevelType w:val="hybridMultilevel"/>
    <w:tmpl w:val="879E5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EA2B47"/>
    <w:multiLevelType w:val="hybridMultilevel"/>
    <w:tmpl w:val="192E6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1D1EB8"/>
    <w:multiLevelType w:val="hybridMultilevel"/>
    <w:tmpl w:val="1D5CC35A"/>
    <w:lvl w:ilvl="0" w:tplc="6A8A97D4">
      <w:start w:val="1085"/>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AA46D0"/>
    <w:multiLevelType w:val="hybridMultilevel"/>
    <w:tmpl w:val="480C7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5D6510"/>
    <w:multiLevelType w:val="hybridMultilevel"/>
    <w:tmpl w:val="ADA061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33781F"/>
    <w:multiLevelType w:val="hybridMultilevel"/>
    <w:tmpl w:val="B9D25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F17404"/>
    <w:multiLevelType w:val="hybridMultilevel"/>
    <w:tmpl w:val="EA6CD39E"/>
    <w:lvl w:ilvl="0" w:tplc="D4F6A11A">
      <w:numFmt w:val="bullet"/>
      <w:lvlText w:val="•"/>
      <w:lvlJc w:val="left"/>
      <w:pPr>
        <w:ind w:left="1080" w:hanging="720"/>
      </w:pPr>
      <w:rPr>
        <w:rFonts w:ascii="Century Gothic" w:eastAsiaTheme="minorEastAsia" w:hAnsi="Century Goth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B85A98"/>
    <w:multiLevelType w:val="hybridMultilevel"/>
    <w:tmpl w:val="A5FE8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E03BBF"/>
    <w:multiLevelType w:val="hybridMultilevel"/>
    <w:tmpl w:val="A120E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40"/>
  </w:num>
  <w:num w:numId="3">
    <w:abstractNumId w:val="16"/>
  </w:num>
  <w:num w:numId="4">
    <w:abstractNumId w:val="2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4"/>
  </w:num>
  <w:num w:numId="16">
    <w:abstractNumId w:val="12"/>
  </w:num>
  <w:num w:numId="17">
    <w:abstractNumId w:val="36"/>
  </w:num>
  <w:num w:numId="18">
    <w:abstractNumId w:val="13"/>
  </w:num>
  <w:num w:numId="19">
    <w:abstractNumId w:val="10"/>
  </w:num>
  <w:num w:numId="20">
    <w:abstractNumId w:val="37"/>
  </w:num>
  <w:num w:numId="21">
    <w:abstractNumId w:val="14"/>
  </w:num>
  <w:num w:numId="22">
    <w:abstractNumId w:val="25"/>
  </w:num>
  <w:num w:numId="23">
    <w:abstractNumId w:val="29"/>
  </w:num>
  <w:num w:numId="24">
    <w:abstractNumId w:val="15"/>
  </w:num>
  <w:num w:numId="25">
    <w:abstractNumId w:val="21"/>
  </w:num>
  <w:num w:numId="26">
    <w:abstractNumId w:val="19"/>
  </w:num>
  <w:num w:numId="27">
    <w:abstractNumId w:val="23"/>
  </w:num>
  <w:num w:numId="28">
    <w:abstractNumId w:val="28"/>
  </w:num>
  <w:num w:numId="29">
    <w:abstractNumId w:val="35"/>
  </w:num>
  <w:num w:numId="30">
    <w:abstractNumId w:val="31"/>
  </w:num>
  <w:num w:numId="31">
    <w:abstractNumId w:val="20"/>
  </w:num>
  <w:num w:numId="32">
    <w:abstractNumId w:val="18"/>
  </w:num>
  <w:num w:numId="33">
    <w:abstractNumId w:val="17"/>
  </w:num>
  <w:num w:numId="34">
    <w:abstractNumId w:val="11"/>
  </w:num>
  <w:num w:numId="35">
    <w:abstractNumId w:val="24"/>
  </w:num>
  <w:num w:numId="36">
    <w:abstractNumId w:val="38"/>
  </w:num>
  <w:num w:numId="37">
    <w:abstractNumId w:val="33"/>
  </w:num>
  <w:num w:numId="38">
    <w:abstractNumId w:val="27"/>
  </w:num>
  <w:num w:numId="39">
    <w:abstractNumId w:val="26"/>
  </w:num>
  <w:num w:numId="40">
    <w:abstractNumId w:val="30"/>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attachedTemplate r:id="rId1"/>
  <w:defaultTabStop w:val="720"/>
  <w:hyphenationZone w:val="425"/>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Q2NzYzNDU2tTA1NjJQ0lEKTi0uzszPAykwrQUAf3SShywAAAA="/>
  </w:docVars>
  <w:rsids>
    <w:rsidRoot w:val="00335953"/>
    <w:rsid w:val="00001E9F"/>
    <w:rsid w:val="0000414E"/>
    <w:rsid w:val="00004DCA"/>
    <w:rsid w:val="000122D1"/>
    <w:rsid w:val="00015B9F"/>
    <w:rsid w:val="00015E9A"/>
    <w:rsid w:val="00016548"/>
    <w:rsid w:val="00016E48"/>
    <w:rsid w:val="00021EAA"/>
    <w:rsid w:val="0002290D"/>
    <w:rsid w:val="00022CB7"/>
    <w:rsid w:val="000318F9"/>
    <w:rsid w:val="00035F9A"/>
    <w:rsid w:val="000364F5"/>
    <w:rsid w:val="00037578"/>
    <w:rsid w:val="00037AF8"/>
    <w:rsid w:val="00042543"/>
    <w:rsid w:val="00046261"/>
    <w:rsid w:val="000507D5"/>
    <w:rsid w:val="00051502"/>
    <w:rsid w:val="00052EDC"/>
    <w:rsid w:val="000562B7"/>
    <w:rsid w:val="00062548"/>
    <w:rsid w:val="0006502F"/>
    <w:rsid w:val="00073649"/>
    <w:rsid w:val="00074697"/>
    <w:rsid w:val="00074968"/>
    <w:rsid w:val="0007545D"/>
    <w:rsid w:val="00075CBA"/>
    <w:rsid w:val="00090FE5"/>
    <w:rsid w:val="00092171"/>
    <w:rsid w:val="00092DBC"/>
    <w:rsid w:val="000950CD"/>
    <w:rsid w:val="000A08DA"/>
    <w:rsid w:val="000A5270"/>
    <w:rsid w:val="000B128D"/>
    <w:rsid w:val="000B5AC8"/>
    <w:rsid w:val="000B611A"/>
    <w:rsid w:val="000C32A8"/>
    <w:rsid w:val="000C66AA"/>
    <w:rsid w:val="000D12AD"/>
    <w:rsid w:val="000D64AF"/>
    <w:rsid w:val="000D6C82"/>
    <w:rsid w:val="000D6FC1"/>
    <w:rsid w:val="000E031F"/>
    <w:rsid w:val="000E07FC"/>
    <w:rsid w:val="000F0252"/>
    <w:rsid w:val="000F13A7"/>
    <w:rsid w:val="00101CDC"/>
    <w:rsid w:val="00103D26"/>
    <w:rsid w:val="001175FF"/>
    <w:rsid w:val="0011761F"/>
    <w:rsid w:val="00124768"/>
    <w:rsid w:val="0012723F"/>
    <w:rsid w:val="00130071"/>
    <w:rsid w:val="001322B1"/>
    <w:rsid w:val="00133D2C"/>
    <w:rsid w:val="00141864"/>
    <w:rsid w:val="00142430"/>
    <w:rsid w:val="00142C75"/>
    <w:rsid w:val="00153D0F"/>
    <w:rsid w:val="00160649"/>
    <w:rsid w:val="00160B90"/>
    <w:rsid w:val="00162537"/>
    <w:rsid w:val="00165A3C"/>
    <w:rsid w:val="0016717C"/>
    <w:rsid w:val="00171731"/>
    <w:rsid w:val="00171B5D"/>
    <w:rsid w:val="00173780"/>
    <w:rsid w:val="001876BC"/>
    <w:rsid w:val="0019737F"/>
    <w:rsid w:val="001A1751"/>
    <w:rsid w:val="001A47F1"/>
    <w:rsid w:val="001A5C19"/>
    <w:rsid w:val="001A67F4"/>
    <w:rsid w:val="001B2328"/>
    <w:rsid w:val="001B3C87"/>
    <w:rsid w:val="001B61BF"/>
    <w:rsid w:val="001C141D"/>
    <w:rsid w:val="001C1C63"/>
    <w:rsid w:val="001C3DFF"/>
    <w:rsid w:val="001C425A"/>
    <w:rsid w:val="001C43B3"/>
    <w:rsid w:val="001C68AE"/>
    <w:rsid w:val="001C7AFA"/>
    <w:rsid w:val="001D25AD"/>
    <w:rsid w:val="001D4905"/>
    <w:rsid w:val="001D6DD7"/>
    <w:rsid w:val="001E7D2E"/>
    <w:rsid w:val="001F011A"/>
    <w:rsid w:val="001F0CC1"/>
    <w:rsid w:val="001F7217"/>
    <w:rsid w:val="0020387C"/>
    <w:rsid w:val="00207294"/>
    <w:rsid w:val="00207A08"/>
    <w:rsid w:val="00210A2C"/>
    <w:rsid w:val="00210CDF"/>
    <w:rsid w:val="00211A05"/>
    <w:rsid w:val="00212136"/>
    <w:rsid w:val="00212B95"/>
    <w:rsid w:val="00212CBA"/>
    <w:rsid w:val="002134AC"/>
    <w:rsid w:val="00213E5B"/>
    <w:rsid w:val="00216664"/>
    <w:rsid w:val="00220D6E"/>
    <w:rsid w:val="00223E38"/>
    <w:rsid w:val="0022595D"/>
    <w:rsid w:val="00231FAD"/>
    <w:rsid w:val="00237D49"/>
    <w:rsid w:val="00240046"/>
    <w:rsid w:val="002447B4"/>
    <w:rsid w:val="00250C27"/>
    <w:rsid w:val="00251C7E"/>
    <w:rsid w:val="0025479E"/>
    <w:rsid w:val="0026269B"/>
    <w:rsid w:val="002634FA"/>
    <w:rsid w:val="0026757A"/>
    <w:rsid w:val="002701CF"/>
    <w:rsid w:val="002716AA"/>
    <w:rsid w:val="00272C10"/>
    <w:rsid w:val="00273C06"/>
    <w:rsid w:val="002740CA"/>
    <w:rsid w:val="00277573"/>
    <w:rsid w:val="0028234D"/>
    <w:rsid w:val="0028369C"/>
    <w:rsid w:val="002850D3"/>
    <w:rsid w:val="0028662B"/>
    <w:rsid w:val="0028732F"/>
    <w:rsid w:val="0029253B"/>
    <w:rsid w:val="00293B28"/>
    <w:rsid w:val="002944C7"/>
    <w:rsid w:val="002A1A52"/>
    <w:rsid w:val="002A20EF"/>
    <w:rsid w:val="002A2FAC"/>
    <w:rsid w:val="002A3951"/>
    <w:rsid w:val="002A4AD8"/>
    <w:rsid w:val="002A569B"/>
    <w:rsid w:val="002A698E"/>
    <w:rsid w:val="002A6FD3"/>
    <w:rsid w:val="002A78FE"/>
    <w:rsid w:val="002A7E96"/>
    <w:rsid w:val="002B0045"/>
    <w:rsid w:val="002B1556"/>
    <w:rsid w:val="002B257F"/>
    <w:rsid w:val="002B53D8"/>
    <w:rsid w:val="002C093A"/>
    <w:rsid w:val="002C11FD"/>
    <w:rsid w:val="002C3182"/>
    <w:rsid w:val="002E30D1"/>
    <w:rsid w:val="002E6ABB"/>
    <w:rsid w:val="002F1371"/>
    <w:rsid w:val="002F1EC5"/>
    <w:rsid w:val="002F7E4C"/>
    <w:rsid w:val="00315757"/>
    <w:rsid w:val="00315D04"/>
    <w:rsid w:val="00316CA5"/>
    <w:rsid w:val="00320CBD"/>
    <w:rsid w:val="00320F2F"/>
    <w:rsid w:val="003238B7"/>
    <w:rsid w:val="00323910"/>
    <w:rsid w:val="003269D3"/>
    <w:rsid w:val="0033087D"/>
    <w:rsid w:val="00334B8A"/>
    <w:rsid w:val="0033587C"/>
    <w:rsid w:val="00335953"/>
    <w:rsid w:val="00342910"/>
    <w:rsid w:val="00343695"/>
    <w:rsid w:val="00345B66"/>
    <w:rsid w:val="00345D49"/>
    <w:rsid w:val="00350164"/>
    <w:rsid w:val="00350EE7"/>
    <w:rsid w:val="00353306"/>
    <w:rsid w:val="00360612"/>
    <w:rsid w:val="00372CD4"/>
    <w:rsid w:val="00376423"/>
    <w:rsid w:val="003771BC"/>
    <w:rsid w:val="00384FA8"/>
    <w:rsid w:val="003855FF"/>
    <w:rsid w:val="00387B26"/>
    <w:rsid w:val="00387FCC"/>
    <w:rsid w:val="00390D2A"/>
    <w:rsid w:val="003A7457"/>
    <w:rsid w:val="003C27E3"/>
    <w:rsid w:val="003C61E6"/>
    <w:rsid w:val="003D02D1"/>
    <w:rsid w:val="003D49A2"/>
    <w:rsid w:val="003E2FB4"/>
    <w:rsid w:val="003E3916"/>
    <w:rsid w:val="003E570A"/>
    <w:rsid w:val="003F033A"/>
    <w:rsid w:val="003F1A81"/>
    <w:rsid w:val="004011A7"/>
    <w:rsid w:val="00402089"/>
    <w:rsid w:val="004128DA"/>
    <w:rsid w:val="00423553"/>
    <w:rsid w:val="0042461F"/>
    <w:rsid w:val="004271FA"/>
    <w:rsid w:val="00427C82"/>
    <w:rsid w:val="0043532D"/>
    <w:rsid w:val="00437D9E"/>
    <w:rsid w:val="004435FE"/>
    <w:rsid w:val="004453B2"/>
    <w:rsid w:val="00445F74"/>
    <w:rsid w:val="00446803"/>
    <w:rsid w:val="004504AF"/>
    <w:rsid w:val="00451164"/>
    <w:rsid w:val="00451A4F"/>
    <w:rsid w:val="00460121"/>
    <w:rsid w:val="004679A6"/>
    <w:rsid w:val="00482665"/>
    <w:rsid w:val="00487F51"/>
    <w:rsid w:val="004A3B80"/>
    <w:rsid w:val="004B08BD"/>
    <w:rsid w:val="004C14EF"/>
    <w:rsid w:val="004C34E7"/>
    <w:rsid w:val="004C6589"/>
    <w:rsid w:val="004D119D"/>
    <w:rsid w:val="004D1843"/>
    <w:rsid w:val="004D2CA5"/>
    <w:rsid w:val="004E10EA"/>
    <w:rsid w:val="004F09E2"/>
    <w:rsid w:val="004F13ED"/>
    <w:rsid w:val="004F5007"/>
    <w:rsid w:val="004F65F1"/>
    <w:rsid w:val="00500860"/>
    <w:rsid w:val="00512519"/>
    <w:rsid w:val="0051417F"/>
    <w:rsid w:val="00523FAA"/>
    <w:rsid w:val="00525719"/>
    <w:rsid w:val="00526A3C"/>
    <w:rsid w:val="005336D2"/>
    <w:rsid w:val="00535829"/>
    <w:rsid w:val="0054177E"/>
    <w:rsid w:val="00544C9F"/>
    <w:rsid w:val="00550D51"/>
    <w:rsid w:val="005609F2"/>
    <w:rsid w:val="00561274"/>
    <w:rsid w:val="005756DD"/>
    <w:rsid w:val="0058013C"/>
    <w:rsid w:val="00582A86"/>
    <w:rsid w:val="00583BCB"/>
    <w:rsid w:val="005864E5"/>
    <w:rsid w:val="00587C38"/>
    <w:rsid w:val="00596EF5"/>
    <w:rsid w:val="005A25AA"/>
    <w:rsid w:val="005A3682"/>
    <w:rsid w:val="005A641B"/>
    <w:rsid w:val="005B138D"/>
    <w:rsid w:val="005B6370"/>
    <w:rsid w:val="005C2B6B"/>
    <w:rsid w:val="005C60D6"/>
    <w:rsid w:val="005C629A"/>
    <w:rsid w:val="005D1451"/>
    <w:rsid w:val="005D479D"/>
    <w:rsid w:val="005D729A"/>
    <w:rsid w:val="005E00DB"/>
    <w:rsid w:val="005E4EF2"/>
    <w:rsid w:val="005E684D"/>
    <w:rsid w:val="005F1FEF"/>
    <w:rsid w:val="005F34B2"/>
    <w:rsid w:val="005F415B"/>
    <w:rsid w:val="005F4BE9"/>
    <w:rsid w:val="005F5601"/>
    <w:rsid w:val="00600996"/>
    <w:rsid w:val="006062A7"/>
    <w:rsid w:val="006106F3"/>
    <w:rsid w:val="0061104E"/>
    <w:rsid w:val="006150FC"/>
    <w:rsid w:val="00616B7E"/>
    <w:rsid w:val="006177D7"/>
    <w:rsid w:val="00617853"/>
    <w:rsid w:val="0062770E"/>
    <w:rsid w:val="00630590"/>
    <w:rsid w:val="006315A7"/>
    <w:rsid w:val="006316A3"/>
    <w:rsid w:val="00634D43"/>
    <w:rsid w:val="00635DDF"/>
    <w:rsid w:val="00637C47"/>
    <w:rsid w:val="00640D32"/>
    <w:rsid w:val="00641E0D"/>
    <w:rsid w:val="00643D59"/>
    <w:rsid w:val="00661C0E"/>
    <w:rsid w:val="00665422"/>
    <w:rsid w:val="00666506"/>
    <w:rsid w:val="0066729F"/>
    <w:rsid w:val="00667360"/>
    <w:rsid w:val="00667C4B"/>
    <w:rsid w:val="006720AD"/>
    <w:rsid w:val="006760B3"/>
    <w:rsid w:val="0067796B"/>
    <w:rsid w:val="00681922"/>
    <w:rsid w:val="00691DD3"/>
    <w:rsid w:val="00692A4B"/>
    <w:rsid w:val="006957A0"/>
    <w:rsid w:val="006A06EA"/>
    <w:rsid w:val="006A1F12"/>
    <w:rsid w:val="006A2C28"/>
    <w:rsid w:val="006A3C43"/>
    <w:rsid w:val="006A4AC0"/>
    <w:rsid w:val="006A6958"/>
    <w:rsid w:val="006B2049"/>
    <w:rsid w:val="006B4DEF"/>
    <w:rsid w:val="006B5351"/>
    <w:rsid w:val="006B787A"/>
    <w:rsid w:val="006C5B9A"/>
    <w:rsid w:val="006C68F5"/>
    <w:rsid w:val="006D13A4"/>
    <w:rsid w:val="006D3796"/>
    <w:rsid w:val="006D3E13"/>
    <w:rsid w:val="006D6947"/>
    <w:rsid w:val="006D73F5"/>
    <w:rsid w:val="006E04DB"/>
    <w:rsid w:val="006E17AC"/>
    <w:rsid w:val="006E68B0"/>
    <w:rsid w:val="00702C52"/>
    <w:rsid w:val="00707496"/>
    <w:rsid w:val="007123F1"/>
    <w:rsid w:val="00720D51"/>
    <w:rsid w:val="00720FFC"/>
    <w:rsid w:val="00722428"/>
    <w:rsid w:val="007236F6"/>
    <w:rsid w:val="00732D85"/>
    <w:rsid w:val="00735055"/>
    <w:rsid w:val="00740689"/>
    <w:rsid w:val="00751802"/>
    <w:rsid w:val="00755007"/>
    <w:rsid w:val="007579C6"/>
    <w:rsid w:val="00757D15"/>
    <w:rsid w:val="00770F00"/>
    <w:rsid w:val="0077228A"/>
    <w:rsid w:val="00780351"/>
    <w:rsid w:val="0078505D"/>
    <w:rsid w:val="007858C7"/>
    <w:rsid w:val="0079768F"/>
    <w:rsid w:val="007A15E2"/>
    <w:rsid w:val="007A44AE"/>
    <w:rsid w:val="007A4A9A"/>
    <w:rsid w:val="007B1811"/>
    <w:rsid w:val="007C1FAB"/>
    <w:rsid w:val="007C261A"/>
    <w:rsid w:val="007C454A"/>
    <w:rsid w:val="007D0796"/>
    <w:rsid w:val="007D2D7A"/>
    <w:rsid w:val="007D7C83"/>
    <w:rsid w:val="007E176F"/>
    <w:rsid w:val="007E341B"/>
    <w:rsid w:val="007E4360"/>
    <w:rsid w:val="007F18BA"/>
    <w:rsid w:val="008004B2"/>
    <w:rsid w:val="00802DA7"/>
    <w:rsid w:val="00806251"/>
    <w:rsid w:val="008130EE"/>
    <w:rsid w:val="00823F0B"/>
    <w:rsid w:val="00825E03"/>
    <w:rsid w:val="008333F6"/>
    <w:rsid w:val="00833E5C"/>
    <w:rsid w:val="00837E1A"/>
    <w:rsid w:val="00852FA9"/>
    <w:rsid w:val="008548FC"/>
    <w:rsid w:val="0086421B"/>
    <w:rsid w:val="00864E57"/>
    <w:rsid w:val="00870C20"/>
    <w:rsid w:val="00871A41"/>
    <w:rsid w:val="00872266"/>
    <w:rsid w:val="008728A5"/>
    <w:rsid w:val="00876DA5"/>
    <w:rsid w:val="008826B0"/>
    <w:rsid w:val="00884E55"/>
    <w:rsid w:val="0088560B"/>
    <w:rsid w:val="00886E50"/>
    <w:rsid w:val="008919D8"/>
    <w:rsid w:val="00892F06"/>
    <w:rsid w:val="008933FA"/>
    <w:rsid w:val="0089598A"/>
    <w:rsid w:val="008A1F66"/>
    <w:rsid w:val="008A32C9"/>
    <w:rsid w:val="008A63D1"/>
    <w:rsid w:val="008B3254"/>
    <w:rsid w:val="008B5AEF"/>
    <w:rsid w:val="008B60CA"/>
    <w:rsid w:val="008B72C9"/>
    <w:rsid w:val="008C1D17"/>
    <w:rsid w:val="008C22D0"/>
    <w:rsid w:val="008C2630"/>
    <w:rsid w:val="008C3823"/>
    <w:rsid w:val="008C601C"/>
    <w:rsid w:val="008C70B9"/>
    <w:rsid w:val="008C7918"/>
    <w:rsid w:val="008C7A87"/>
    <w:rsid w:val="008D581B"/>
    <w:rsid w:val="008D6DEB"/>
    <w:rsid w:val="008E1878"/>
    <w:rsid w:val="008E3311"/>
    <w:rsid w:val="008E478F"/>
    <w:rsid w:val="008F06F6"/>
    <w:rsid w:val="008F56A7"/>
    <w:rsid w:val="008F636B"/>
    <w:rsid w:val="00911C04"/>
    <w:rsid w:val="009134FB"/>
    <w:rsid w:val="009254FB"/>
    <w:rsid w:val="009301A1"/>
    <w:rsid w:val="00930FC5"/>
    <w:rsid w:val="009320A8"/>
    <w:rsid w:val="00935771"/>
    <w:rsid w:val="0093706D"/>
    <w:rsid w:val="00941D63"/>
    <w:rsid w:val="009454D4"/>
    <w:rsid w:val="009457F3"/>
    <w:rsid w:val="00945BCD"/>
    <w:rsid w:val="00946408"/>
    <w:rsid w:val="00946C3F"/>
    <w:rsid w:val="00952634"/>
    <w:rsid w:val="0095327C"/>
    <w:rsid w:val="009544FE"/>
    <w:rsid w:val="00956E43"/>
    <w:rsid w:val="00960F01"/>
    <w:rsid w:val="009611DD"/>
    <w:rsid w:val="00963407"/>
    <w:rsid w:val="0096397C"/>
    <w:rsid w:val="00971464"/>
    <w:rsid w:val="00971D6D"/>
    <w:rsid w:val="009721CC"/>
    <w:rsid w:val="00981361"/>
    <w:rsid w:val="0098191A"/>
    <w:rsid w:val="009878AD"/>
    <w:rsid w:val="00990105"/>
    <w:rsid w:val="00994DF1"/>
    <w:rsid w:val="009A519D"/>
    <w:rsid w:val="009A5867"/>
    <w:rsid w:val="009B2441"/>
    <w:rsid w:val="009B2C78"/>
    <w:rsid w:val="009B4BFF"/>
    <w:rsid w:val="009B7E4D"/>
    <w:rsid w:val="009D0C46"/>
    <w:rsid w:val="009D106D"/>
    <w:rsid w:val="009D1160"/>
    <w:rsid w:val="009D20F8"/>
    <w:rsid w:val="009D6623"/>
    <w:rsid w:val="009D7AAC"/>
    <w:rsid w:val="009D7D5C"/>
    <w:rsid w:val="009E1B6E"/>
    <w:rsid w:val="009E6734"/>
    <w:rsid w:val="009E6781"/>
    <w:rsid w:val="00A04590"/>
    <w:rsid w:val="00A05D01"/>
    <w:rsid w:val="00A14304"/>
    <w:rsid w:val="00A1582C"/>
    <w:rsid w:val="00A207A4"/>
    <w:rsid w:val="00A23B64"/>
    <w:rsid w:val="00A2506A"/>
    <w:rsid w:val="00A25085"/>
    <w:rsid w:val="00A27488"/>
    <w:rsid w:val="00A312DC"/>
    <w:rsid w:val="00A32BD1"/>
    <w:rsid w:val="00A334FB"/>
    <w:rsid w:val="00A35BAF"/>
    <w:rsid w:val="00A369D0"/>
    <w:rsid w:val="00A473E1"/>
    <w:rsid w:val="00A5334A"/>
    <w:rsid w:val="00A6719E"/>
    <w:rsid w:val="00A71105"/>
    <w:rsid w:val="00A9262A"/>
    <w:rsid w:val="00AA2790"/>
    <w:rsid w:val="00AA5D46"/>
    <w:rsid w:val="00AA62CE"/>
    <w:rsid w:val="00AA6368"/>
    <w:rsid w:val="00AA77CB"/>
    <w:rsid w:val="00AB7156"/>
    <w:rsid w:val="00AC0127"/>
    <w:rsid w:val="00AC0657"/>
    <w:rsid w:val="00AC2CDF"/>
    <w:rsid w:val="00AC33AA"/>
    <w:rsid w:val="00AC3A5B"/>
    <w:rsid w:val="00AC59D4"/>
    <w:rsid w:val="00AC7E13"/>
    <w:rsid w:val="00AD05F1"/>
    <w:rsid w:val="00AD1029"/>
    <w:rsid w:val="00AD1DE1"/>
    <w:rsid w:val="00AD4453"/>
    <w:rsid w:val="00AD4E57"/>
    <w:rsid w:val="00AD7D29"/>
    <w:rsid w:val="00AE31E1"/>
    <w:rsid w:val="00AE3E19"/>
    <w:rsid w:val="00AE40C2"/>
    <w:rsid w:val="00AE4390"/>
    <w:rsid w:val="00AE51EC"/>
    <w:rsid w:val="00AE662E"/>
    <w:rsid w:val="00AF05B1"/>
    <w:rsid w:val="00AF060E"/>
    <w:rsid w:val="00AF13A2"/>
    <w:rsid w:val="00AF1B49"/>
    <w:rsid w:val="00AF2E47"/>
    <w:rsid w:val="00AF4559"/>
    <w:rsid w:val="00AF747E"/>
    <w:rsid w:val="00B023EA"/>
    <w:rsid w:val="00B029E4"/>
    <w:rsid w:val="00B02A5B"/>
    <w:rsid w:val="00B0337B"/>
    <w:rsid w:val="00B03CC0"/>
    <w:rsid w:val="00B10D70"/>
    <w:rsid w:val="00B11876"/>
    <w:rsid w:val="00B16ED2"/>
    <w:rsid w:val="00B2475B"/>
    <w:rsid w:val="00B3307F"/>
    <w:rsid w:val="00B40D97"/>
    <w:rsid w:val="00B41633"/>
    <w:rsid w:val="00B42293"/>
    <w:rsid w:val="00B422D2"/>
    <w:rsid w:val="00B51B81"/>
    <w:rsid w:val="00B55EAD"/>
    <w:rsid w:val="00B56A31"/>
    <w:rsid w:val="00B605E8"/>
    <w:rsid w:val="00B60A8B"/>
    <w:rsid w:val="00B61F37"/>
    <w:rsid w:val="00B64D35"/>
    <w:rsid w:val="00B66423"/>
    <w:rsid w:val="00B669E1"/>
    <w:rsid w:val="00B66B69"/>
    <w:rsid w:val="00B8171F"/>
    <w:rsid w:val="00B82097"/>
    <w:rsid w:val="00B94B19"/>
    <w:rsid w:val="00B94D8A"/>
    <w:rsid w:val="00B962DB"/>
    <w:rsid w:val="00B97C71"/>
    <w:rsid w:val="00B97E55"/>
    <w:rsid w:val="00BA11FF"/>
    <w:rsid w:val="00BA1958"/>
    <w:rsid w:val="00BA324B"/>
    <w:rsid w:val="00BB5EF5"/>
    <w:rsid w:val="00BC1263"/>
    <w:rsid w:val="00BC170E"/>
    <w:rsid w:val="00BC1D05"/>
    <w:rsid w:val="00BC2E73"/>
    <w:rsid w:val="00BC3365"/>
    <w:rsid w:val="00BC4DB7"/>
    <w:rsid w:val="00BC735F"/>
    <w:rsid w:val="00BC7B14"/>
    <w:rsid w:val="00BD1308"/>
    <w:rsid w:val="00BD1967"/>
    <w:rsid w:val="00BD33AC"/>
    <w:rsid w:val="00BD3B39"/>
    <w:rsid w:val="00BD3FC2"/>
    <w:rsid w:val="00BD6A29"/>
    <w:rsid w:val="00BE00C3"/>
    <w:rsid w:val="00BE1CAC"/>
    <w:rsid w:val="00BE3C68"/>
    <w:rsid w:val="00BE42BA"/>
    <w:rsid w:val="00BE52E7"/>
    <w:rsid w:val="00BF0AD6"/>
    <w:rsid w:val="00BF23F3"/>
    <w:rsid w:val="00BF276C"/>
    <w:rsid w:val="00BF3338"/>
    <w:rsid w:val="00BF4AA9"/>
    <w:rsid w:val="00BF6C90"/>
    <w:rsid w:val="00C03674"/>
    <w:rsid w:val="00C038FA"/>
    <w:rsid w:val="00C04C2E"/>
    <w:rsid w:val="00C072D6"/>
    <w:rsid w:val="00C07D6B"/>
    <w:rsid w:val="00C115E4"/>
    <w:rsid w:val="00C148C2"/>
    <w:rsid w:val="00C210A5"/>
    <w:rsid w:val="00C338D4"/>
    <w:rsid w:val="00C37EF7"/>
    <w:rsid w:val="00C41131"/>
    <w:rsid w:val="00C4305C"/>
    <w:rsid w:val="00C43C55"/>
    <w:rsid w:val="00C623BA"/>
    <w:rsid w:val="00C65156"/>
    <w:rsid w:val="00C66C34"/>
    <w:rsid w:val="00C66E51"/>
    <w:rsid w:val="00C77A6C"/>
    <w:rsid w:val="00C800FD"/>
    <w:rsid w:val="00C8079B"/>
    <w:rsid w:val="00C85156"/>
    <w:rsid w:val="00C861FC"/>
    <w:rsid w:val="00C936DA"/>
    <w:rsid w:val="00C96AEC"/>
    <w:rsid w:val="00CA10BE"/>
    <w:rsid w:val="00CA6ECD"/>
    <w:rsid w:val="00CB036C"/>
    <w:rsid w:val="00CB72F1"/>
    <w:rsid w:val="00CC06F0"/>
    <w:rsid w:val="00CC1EA0"/>
    <w:rsid w:val="00CC28A4"/>
    <w:rsid w:val="00CC3DFA"/>
    <w:rsid w:val="00CC4D42"/>
    <w:rsid w:val="00CC6510"/>
    <w:rsid w:val="00CC7100"/>
    <w:rsid w:val="00CD265B"/>
    <w:rsid w:val="00CD3763"/>
    <w:rsid w:val="00CD463C"/>
    <w:rsid w:val="00CE2D2E"/>
    <w:rsid w:val="00CE37B7"/>
    <w:rsid w:val="00CE4288"/>
    <w:rsid w:val="00CF53D4"/>
    <w:rsid w:val="00D01555"/>
    <w:rsid w:val="00D07474"/>
    <w:rsid w:val="00D11C18"/>
    <w:rsid w:val="00D13F6A"/>
    <w:rsid w:val="00D14FDD"/>
    <w:rsid w:val="00D1593E"/>
    <w:rsid w:val="00D22D0D"/>
    <w:rsid w:val="00D307D2"/>
    <w:rsid w:val="00D331A2"/>
    <w:rsid w:val="00D34ED4"/>
    <w:rsid w:val="00D37C41"/>
    <w:rsid w:val="00D460F3"/>
    <w:rsid w:val="00D52999"/>
    <w:rsid w:val="00D572A5"/>
    <w:rsid w:val="00D60F14"/>
    <w:rsid w:val="00D628BB"/>
    <w:rsid w:val="00D672AF"/>
    <w:rsid w:val="00D70C4B"/>
    <w:rsid w:val="00D71F0B"/>
    <w:rsid w:val="00D738F7"/>
    <w:rsid w:val="00D745F7"/>
    <w:rsid w:val="00D848C8"/>
    <w:rsid w:val="00D862F5"/>
    <w:rsid w:val="00D863DD"/>
    <w:rsid w:val="00D86817"/>
    <w:rsid w:val="00D86B9A"/>
    <w:rsid w:val="00D90BEF"/>
    <w:rsid w:val="00D95082"/>
    <w:rsid w:val="00D97628"/>
    <w:rsid w:val="00D977AF"/>
    <w:rsid w:val="00D9793A"/>
    <w:rsid w:val="00DA0EA5"/>
    <w:rsid w:val="00DA7247"/>
    <w:rsid w:val="00DB0010"/>
    <w:rsid w:val="00DB3AF7"/>
    <w:rsid w:val="00DB7665"/>
    <w:rsid w:val="00DC0652"/>
    <w:rsid w:val="00DC4BD6"/>
    <w:rsid w:val="00DC749C"/>
    <w:rsid w:val="00DE087B"/>
    <w:rsid w:val="00DE6848"/>
    <w:rsid w:val="00E00D9B"/>
    <w:rsid w:val="00E0300D"/>
    <w:rsid w:val="00E03497"/>
    <w:rsid w:val="00E10014"/>
    <w:rsid w:val="00E11058"/>
    <w:rsid w:val="00E13433"/>
    <w:rsid w:val="00E16401"/>
    <w:rsid w:val="00E17017"/>
    <w:rsid w:val="00E2404A"/>
    <w:rsid w:val="00E2434E"/>
    <w:rsid w:val="00E24671"/>
    <w:rsid w:val="00E30351"/>
    <w:rsid w:val="00E30A3B"/>
    <w:rsid w:val="00E42D44"/>
    <w:rsid w:val="00E50DC5"/>
    <w:rsid w:val="00E51C77"/>
    <w:rsid w:val="00E56825"/>
    <w:rsid w:val="00E66916"/>
    <w:rsid w:val="00E74455"/>
    <w:rsid w:val="00E74964"/>
    <w:rsid w:val="00E80E0F"/>
    <w:rsid w:val="00E81FB0"/>
    <w:rsid w:val="00E83B55"/>
    <w:rsid w:val="00E83E07"/>
    <w:rsid w:val="00E84E25"/>
    <w:rsid w:val="00E85F53"/>
    <w:rsid w:val="00E86A6D"/>
    <w:rsid w:val="00E871AB"/>
    <w:rsid w:val="00EA0421"/>
    <w:rsid w:val="00EA1052"/>
    <w:rsid w:val="00EA754B"/>
    <w:rsid w:val="00EB0D20"/>
    <w:rsid w:val="00EB2E9F"/>
    <w:rsid w:val="00EB4D20"/>
    <w:rsid w:val="00EB7451"/>
    <w:rsid w:val="00EC1614"/>
    <w:rsid w:val="00EC209D"/>
    <w:rsid w:val="00EC2A82"/>
    <w:rsid w:val="00EC54F5"/>
    <w:rsid w:val="00ED2BE8"/>
    <w:rsid w:val="00ED452A"/>
    <w:rsid w:val="00ED4684"/>
    <w:rsid w:val="00ED5415"/>
    <w:rsid w:val="00ED5AAB"/>
    <w:rsid w:val="00ED686C"/>
    <w:rsid w:val="00ED6898"/>
    <w:rsid w:val="00ED6B37"/>
    <w:rsid w:val="00EE091E"/>
    <w:rsid w:val="00EE1849"/>
    <w:rsid w:val="00EF65CB"/>
    <w:rsid w:val="00EF6839"/>
    <w:rsid w:val="00F010AC"/>
    <w:rsid w:val="00F0647F"/>
    <w:rsid w:val="00F10858"/>
    <w:rsid w:val="00F15916"/>
    <w:rsid w:val="00F159B3"/>
    <w:rsid w:val="00F16BD8"/>
    <w:rsid w:val="00F17504"/>
    <w:rsid w:val="00F17640"/>
    <w:rsid w:val="00F20BC7"/>
    <w:rsid w:val="00F23FB9"/>
    <w:rsid w:val="00F247F8"/>
    <w:rsid w:val="00F314F1"/>
    <w:rsid w:val="00F531CE"/>
    <w:rsid w:val="00F56C72"/>
    <w:rsid w:val="00F6016E"/>
    <w:rsid w:val="00F62FCF"/>
    <w:rsid w:val="00F65F1B"/>
    <w:rsid w:val="00F67CA1"/>
    <w:rsid w:val="00F731A1"/>
    <w:rsid w:val="00F74168"/>
    <w:rsid w:val="00F7601A"/>
    <w:rsid w:val="00F77810"/>
    <w:rsid w:val="00F80028"/>
    <w:rsid w:val="00F91297"/>
    <w:rsid w:val="00F9606C"/>
    <w:rsid w:val="00F9690A"/>
    <w:rsid w:val="00F977AB"/>
    <w:rsid w:val="00FA418B"/>
    <w:rsid w:val="00FA6037"/>
    <w:rsid w:val="00FB20FA"/>
    <w:rsid w:val="00FB273F"/>
    <w:rsid w:val="00FB5F37"/>
    <w:rsid w:val="00FC17BC"/>
    <w:rsid w:val="00FC33B0"/>
    <w:rsid w:val="00FC352B"/>
    <w:rsid w:val="00FD25BA"/>
    <w:rsid w:val="00FD4D8A"/>
    <w:rsid w:val="00FE0DB9"/>
    <w:rsid w:val="00FE1931"/>
    <w:rsid w:val="00FE5039"/>
    <w:rsid w:val="00FE50BC"/>
    <w:rsid w:val="00FE78DE"/>
    <w:rsid w:val="00FF0E47"/>
    <w:rsid w:val="00FF5CED"/>
    <w:rsid w:val="00FF6BCB"/>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194F66-45FA-4712-97C6-8FD8A439A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953"/>
    <w:pPr>
      <w:jc w:val="both"/>
    </w:pPr>
    <w:rPr>
      <w:noProof/>
      <w:sz w:val="20"/>
    </w:rPr>
  </w:style>
  <w:style w:type="paragraph" w:styleId="Heading1">
    <w:name w:val="heading 1"/>
    <w:basedOn w:val="Normal"/>
    <w:next w:val="Normal"/>
    <w:link w:val="Heading1Char"/>
    <w:uiPriority w:val="9"/>
    <w:qFormat/>
    <w:rsid w:val="009A5867"/>
    <w:pPr>
      <w:keepNext/>
      <w:keepLines/>
      <w:spacing w:before="400" w:after="40" w:line="240" w:lineRule="auto"/>
      <w:outlineLvl w:val="0"/>
    </w:pPr>
    <w:rPr>
      <w:rFonts w:asciiTheme="majorHAnsi" w:eastAsiaTheme="majorEastAsia" w:hAnsiTheme="majorHAnsi" w:cstheme="majorBidi"/>
      <w:color w:val="3494BA" w:themeColor="accent1"/>
      <w:sz w:val="28"/>
      <w:szCs w:val="28"/>
    </w:rPr>
  </w:style>
  <w:style w:type="paragraph" w:styleId="Heading2">
    <w:name w:val="heading 2"/>
    <w:basedOn w:val="Normal"/>
    <w:next w:val="Normal"/>
    <w:link w:val="Heading2Char"/>
    <w:uiPriority w:val="9"/>
    <w:unhideWhenUsed/>
    <w:qFormat/>
    <w:rsid w:val="00223E38"/>
    <w:pPr>
      <w:keepNext/>
      <w:keepLines/>
      <w:spacing w:before="280" w:after="240" w:line="240" w:lineRule="auto"/>
      <w:outlineLvl w:val="1"/>
    </w:pPr>
    <w:rPr>
      <w:rFonts w:asciiTheme="majorHAnsi" w:eastAsiaTheme="majorEastAsia" w:hAnsiTheme="majorHAnsi" w:cstheme="majorBidi"/>
      <w:color w:val="404040" w:themeColor="text1" w:themeTint="BF"/>
      <w:sz w:val="24"/>
      <w:szCs w:val="24"/>
    </w:rPr>
  </w:style>
  <w:style w:type="paragraph" w:styleId="Heading3">
    <w:name w:val="heading 3"/>
    <w:basedOn w:val="Normal"/>
    <w:next w:val="Normal"/>
    <w:link w:val="Heading3Char"/>
    <w:uiPriority w:val="9"/>
    <w:unhideWhenUsed/>
    <w:qFormat/>
    <w:rsid w:val="00092DBC"/>
    <w:pPr>
      <w:keepNext/>
      <w:keepLines/>
      <w:spacing w:before="120" w:after="120" w:line="240" w:lineRule="auto"/>
      <w:outlineLvl w:val="2"/>
    </w:pPr>
    <w:rPr>
      <w:rFonts w:asciiTheme="majorHAnsi" w:eastAsiaTheme="majorEastAsia" w:hAnsiTheme="majorHAnsi" w:cstheme="majorBidi"/>
      <w:color w:val="3494BA" w:themeColor="accent1"/>
      <w:sz w:val="22"/>
      <w:szCs w:val="22"/>
    </w:rPr>
  </w:style>
  <w:style w:type="paragraph" w:styleId="Heading4">
    <w:name w:val="heading 4"/>
    <w:basedOn w:val="Normal"/>
    <w:next w:val="Normal"/>
    <w:link w:val="Heading4Char"/>
    <w:uiPriority w:val="9"/>
    <w:unhideWhenUsed/>
    <w:qFormat/>
    <w:rsid w:val="009A5867"/>
    <w:pPr>
      <w:keepNext/>
      <w:keepLines/>
      <w:spacing w:before="160" w:after="0"/>
      <w:outlineLvl w:val="3"/>
    </w:pPr>
    <w:rPr>
      <w:rFonts w:asciiTheme="majorHAnsi" w:eastAsiaTheme="majorEastAsia" w:hAnsiTheme="majorHAnsi" w:cstheme="majorBidi"/>
      <w:b/>
      <w:bCs/>
      <w:color w:val="000000" w:themeColor="text1"/>
      <w:szCs w:val="20"/>
    </w:rPr>
  </w:style>
  <w:style w:type="paragraph" w:styleId="Heading5">
    <w:name w:val="heading 5"/>
    <w:basedOn w:val="Normal"/>
    <w:next w:val="Normal"/>
    <w:link w:val="Heading5Char"/>
    <w:uiPriority w:val="9"/>
    <w:unhideWhenUsed/>
    <w:qFormat/>
    <w:rsid w:val="009A5867"/>
    <w:pPr>
      <w:keepNext/>
      <w:keepLines/>
      <w:spacing w:before="40" w:after="0"/>
      <w:outlineLvl w:val="4"/>
    </w:pPr>
    <w:rPr>
      <w:rFonts w:asciiTheme="majorHAnsi" w:eastAsiaTheme="majorEastAsia" w:hAnsiTheme="majorHAnsi" w:cstheme="majorBidi"/>
      <w:szCs w:val="20"/>
    </w:rPr>
  </w:style>
  <w:style w:type="paragraph" w:styleId="Heading6">
    <w:name w:val="heading 6"/>
    <w:basedOn w:val="Normal"/>
    <w:next w:val="Normal"/>
    <w:link w:val="Heading6Char"/>
    <w:uiPriority w:val="9"/>
    <w:semiHidden/>
    <w:unhideWhenUsed/>
    <w:qFormat/>
    <w:rsid w:val="009A5867"/>
    <w:pPr>
      <w:keepNext/>
      <w:keepLines/>
      <w:spacing w:before="160" w:after="0"/>
      <w:outlineLvl w:val="5"/>
    </w:pPr>
    <w:rPr>
      <w:rFonts w:asciiTheme="majorHAnsi" w:eastAsiaTheme="majorEastAsia" w:hAnsiTheme="majorHAnsi" w:cstheme="majorBidi"/>
      <w:b/>
      <w:bCs/>
      <w:i/>
      <w:iCs/>
      <w:szCs w:val="20"/>
    </w:rPr>
  </w:style>
  <w:style w:type="paragraph" w:styleId="Heading7">
    <w:name w:val="heading 7"/>
    <w:basedOn w:val="Normal"/>
    <w:next w:val="Normal"/>
    <w:link w:val="Heading7Char"/>
    <w:uiPriority w:val="9"/>
    <w:semiHidden/>
    <w:unhideWhenUsed/>
    <w:qFormat/>
    <w:rsid w:val="009A5867"/>
    <w:pPr>
      <w:keepNext/>
      <w:keepLines/>
      <w:spacing w:before="40" w:after="0"/>
      <w:outlineLvl w:val="6"/>
    </w:pPr>
    <w:rPr>
      <w:rFonts w:asciiTheme="majorHAnsi" w:eastAsiaTheme="majorEastAsia" w:hAnsiTheme="majorHAnsi" w:cstheme="majorBidi"/>
      <w:i/>
      <w:iCs/>
      <w:color w:val="000000" w:themeColor="text1"/>
      <w:szCs w:val="20"/>
    </w:rPr>
  </w:style>
  <w:style w:type="paragraph" w:styleId="Heading8">
    <w:name w:val="heading 8"/>
    <w:basedOn w:val="Normal"/>
    <w:next w:val="Normal"/>
    <w:link w:val="Heading8Char"/>
    <w:uiPriority w:val="9"/>
    <w:semiHidden/>
    <w:unhideWhenUsed/>
    <w:qFormat/>
    <w:rsid w:val="009A5867"/>
    <w:pPr>
      <w:keepNext/>
      <w:keepLines/>
      <w:spacing w:before="120" w:after="0"/>
      <w:outlineLvl w:val="7"/>
    </w:pPr>
    <w:rPr>
      <w:rFonts w:asciiTheme="majorHAnsi" w:eastAsiaTheme="majorEastAsia" w:hAnsiTheme="majorHAnsi" w:cstheme="majorBidi"/>
      <w:b/>
      <w:bCs/>
      <w:color w:val="000000" w:themeColor="text1"/>
    </w:rPr>
  </w:style>
  <w:style w:type="paragraph" w:styleId="Heading9">
    <w:name w:val="heading 9"/>
    <w:basedOn w:val="Normal"/>
    <w:next w:val="Normal"/>
    <w:link w:val="Heading9Char"/>
    <w:uiPriority w:val="9"/>
    <w:semiHidden/>
    <w:unhideWhenUsed/>
    <w:qFormat/>
    <w:rsid w:val="009A5867"/>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5867"/>
    <w:rPr>
      <w:rFonts w:asciiTheme="majorHAnsi" w:eastAsiaTheme="majorEastAsia" w:hAnsiTheme="majorHAnsi" w:cstheme="majorBidi"/>
      <w:color w:val="3494BA" w:themeColor="accent1"/>
      <w:sz w:val="28"/>
      <w:szCs w:val="28"/>
    </w:rPr>
  </w:style>
  <w:style w:type="character" w:customStyle="1" w:styleId="Heading2Char">
    <w:name w:val="Heading 2 Char"/>
    <w:basedOn w:val="DefaultParagraphFont"/>
    <w:link w:val="Heading2"/>
    <w:uiPriority w:val="9"/>
    <w:rsid w:val="00223E38"/>
    <w:rPr>
      <w:rFonts w:asciiTheme="majorHAnsi" w:eastAsiaTheme="majorEastAsia" w:hAnsiTheme="majorHAnsi" w:cstheme="majorBidi"/>
      <w:noProof/>
      <w:color w:val="404040" w:themeColor="text1" w:themeTint="BF"/>
      <w:sz w:val="24"/>
      <w:szCs w:val="24"/>
    </w:rPr>
  </w:style>
  <w:style w:type="character" w:customStyle="1" w:styleId="Heading3Char">
    <w:name w:val="Heading 3 Char"/>
    <w:basedOn w:val="DefaultParagraphFont"/>
    <w:link w:val="Heading3"/>
    <w:uiPriority w:val="9"/>
    <w:rsid w:val="00092DBC"/>
    <w:rPr>
      <w:rFonts w:asciiTheme="majorHAnsi" w:eastAsiaTheme="majorEastAsia" w:hAnsiTheme="majorHAnsi" w:cstheme="majorBidi"/>
      <w:noProof/>
      <w:color w:val="3494BA" w:themeColor="accent1"/>
      <w:sz w:val="22"/>
      <w:szCs w:val="22"/>
    </w:rPr>
  </w:style>
  <w:style w:type="character" w:customStyle="1" w:styleId="Heading4Char">
    <w:name w:val="Heading 4 Char"/>
    <w:basedOn w:val="DefaultParagraphFont"/>
    <w:link w:val="Heading4"/>
    <w:uiPriority w:val="9"/>
    <w:rsid w:val="009A5867"/>
    <w:rPr>
      <w:rFonts w:asciiTheme="majorHAnsi" w:eastAsiaTheme="majorEastAsia" w:hAnsiTheme="majorHAnsi" w:cstheme="majorBidi"/>
      <w:b/>
      <w:bCs/>
      <w:color w:val="000000" w:themeColor="text1"/>
      <w:sz w:val="20"/>
      <w:szCs w:val="20"/>
    </w:rPr>
  </w:style>
  <w:style w:type="character" w:customStyle="1" w:styleId="Heading5Char">
    <w:name w:val="Heading 5 Char"/>
    <w:basedOn w:val="DefaultParagraphFont"/>
    <w:link w:val="Heading5"/>
    <w:uiPriority w:val="9"/>
    <w:rsid w:val="009A5867"/>
    <w:rPr>
      <w:rFonts w:asciiTheme="majorHAnsi" w:eastAsiaTheme="majorEastAsia" w:hAnsiTheme="majorHAnsi" w:cstheme="majorBidi"/>
      <w:sz w:val="20"/>
      <w:szCs w:val="20"/>
    </w:rPr>
  </w:style>
  <w:style w:type="character" w:customStyle="1" w:styleId="Heading6Char">
    <w:name w:val="Heading 6 Char"/>
    <w:basedOn w:val="DefaultParagraphFont"/>
    <w:link w:val="Heading6"/>
    <w:uiPriority w:val="9"/>
    <w:semiHidden/>
    <w:rsid w:val="009A5867"/>
    <w:rPr>
      <w:rFonts w:asciiTheme="majorHAnsi" w:eastAsiaTheme="majorEastAsia" w:hAnsiTheme="majorHAnsi" w:cstheme="majorBidi"/>
      <w:b/>
      <w:bCs/>
      <w:i/>
      <w:iCs/>
      <w:sz w:val="20"/>
      <w:szCs w:val="20"/>
    </w:rPr>
  </w:style>
  <w:style w:type="character" w:customStyle="1" w:styleId="Heading7Char">
    <w:name w:val="Heading 7 Char"/>
    <w:basedOn w:val="DefaultParagraphFont"/>
    <w:link w:val="Heading7"/>
    <w:uiPriority w:val="9"/>
    <w:semiHidden/>
    <w:rsid w:val="009A5867"/>
    <w:rPr>
      <w:rFonts w:asciiTheme="majorHAnsi" w:eastAsiaTheme="majorEastAsia" w:hAnsiTheme="majorHAnsi" w:cstheme="majorBidi"/>
      <w:i/>
      <w:iCs/>
      <w:color w:val="000000" w:themeColor="text1"/>
      <w:sz w:val="20"/>
      <w:szCs w:val="20"/>
    </w:rPr>
  </w:style>
  <w:style w:type="character" w:customStyle="1" w:styleId="Heading8Char">
    <w:name w:val="Heading 8 Char"/>
    <w:basedOn w:val="DefaultParagraphFont"/>
    <w:link w:val="Heading8"/>
    <w:uiPriority w:val="9"/>
    <w:semiHidden/>
    <w:rsid w:val="009A5867"/>
    <w:rPr>
      <w:rFonts w:asciiTheme="majorHAnsi" w:eastAsiaTheme="majorEastAsia" w:hAnsiTheme="majorHAnsi" w:cstheme="majorBidi"/>
      <w:b/>
      <w:bCs/>
      <w:color w:val="000000" w:themeColor="text1"/>
    </w:rPr>
  </w:style>
  <w:style w:type="character" w:customStyle="1" w:styleId="Heading9Char">
    <w:name w:val="Heading 9 Char"/>
    <w:basedOn w:val="DefaultParagraphFont"/>
    <w:link w:val="Heading9"/>
    <w:uiPriority w:val="9"/>
    <w:semiHidden/>
    <w:rsid w:val="009A5867"/>
    <w:rPr>
      <w:rFonts w:asciiTheme="majorHAnsi" w:eastAsiaTheme="majorEastAsia" w:hAnsiTheme="majorHAnsi" w:cstheme="majorBidi"/>
      <w:b/>
      <w:bCs/>
      <w:i/>
      <w:iCs/>
      <w:color w:val="000000" w:themeColor="text1"/>
    </w:rPr>
  </w:style>
  <w:style w:type="character" w:styleId="BookTitle">
    <w:name w:val="Book Title"/>
    <w:basedOn w:val="DefaultParagraphFont"/>
    <w:uiPriority w:val="33"/>
    <w:qFormat/>
    <w:rsid w:val="009A5867"/>
    <w:rPr>
      <w:b/>
      <w:bCs/>
      <w:caps w:val="0"/>
      <w:smallCaps/>
      <w:spacing w:val="10"/>
    </w:rPr>
  </w:style>
  <w:style w:type="paragraph" w:styleId="Caption">
    <w:name w:val="caption"/>
    <w:basedOn w:val="Normal"/>
    <w:next w:val="Normal"/>
    <w:uiPriority w:val="35"/>
    <w:unhideWhenUsed/>
    <w:qFormat/>
    <w:rsid w:val="00D22D0D"/>
    <w:pPr>
      <w:spacing w:before="120" w:after="280" w:line="240" w:lineRule="auto"/>
    </w:pPr>
    <w:rPr>
      <w:rFonts w:ascii="Calibri" w:hAnsi="Calibri"/>
      <w:b/>
      <w:bCs/>
      <w:smallCaps/>
      <w:color w:val="3494BA" w:themeColor="accent1"/>
      <w:spacing w:val="6"/>
    </w:rPr>
  </w:style>
  <w:style w:type="character" w:styleId="Emphasis">
    <w:name w:val="Emphasis"/>
    <w:basedOn w:val="DefaultParagraphFont"/>
    <w:uiPriority w:val="20"/>
    <w:qFormat/>
    <w:rsid w:val="00D86817"/>
    <w:rPr>
      <w:i/>
      <w:iCs/>
      <w:color w:val="C00000"/>
    </w:rPr>
  </w:style>
  <w:style w:type="character" w:styleId="IntenseEmphasis">
    <w:name w:val="Intense Emphasis"/>
    <w:basedOn w:val="DefaultParagraphFont"/>
    <w:uiPriority w:val="21"/>
    <w:qFormat/>
    <w:rsid w:val="009A5867"/>
    <w:rPr>
      <w:b/>
      <w:bCs/>
      <w:i/>
      <w:iCs/>
      <w:color w:val="auto"/>
    </w:rPr>
  </w:style>
  <w:style w:type="paragraph" w:styleId="IntenseQuote">
    <w:name w:val="Intense Quote"/>
    <w:basedOn w:val="Normal"/>
    <w:next w:val="Normal"/>
    <w:link w:val="IntenseQuoteChar"/>
    <w:uiPriority w:val="30"/>
    <w:qFormat/>
    <w:rsid w:val="009A5867"/>
    <w:pPr>
      <w:pBdr>
        <w:left w:val="single" w:sz="36" w:space="4" w:color="3494BA" w:themeColor="accent1"/>
      </w:pBdr>
      <w:spacing w:before="100" w:beforeAutospacing="1"/>
      <w:ind w:left="1224" w:right="1224"/>
    </w:pPr>
    <w:rPr>
      <w:color w:val="3494BA" w:themeColor="accent1"/>
      <w:sz w:val="28"/>
      <w:szCs w:val="28"/>
    </w:rPr>
  </w:style>
  <w:style w:type="character" w:customStyle="1" w:styleId="IntenseQuoteChar">
    <w:name w:val="Intense Quote Char"/>
    <w:basedOn w:val="DefaultParagraphFont"/>
    <w:link w:val="IntenseQuote"/>
    <w:uiPriority w:val="30"/>
    <w:rsid w:val="009A5867"/>
    <w:rPr>
      <w:color w:val="3494BA" w:themeColor="accent1"/>
      <w:sz w:val="28"/>
      <w:szCs w:val="28"/>
    </w:rPr>
  </w:style>
  <w:style w:type="character" w:styleId="IntenseReference">
    <w:name w:val="Intense Reference"/>
    <w:basedOn w:val="DefaultParagraphFont"/>
    <w:uiPriority w:val="32"/>
    <w:qFormat/>
    <w:rsid w:val="009A5867"/>
    <w:rPr>
      <w:b/>
      <w:bCs/>
      <w:caps w:val="0"/>
      <w:smallCaps/>
      <w:color w:val="auto"/>
      <w:spacing w:val="5"/>
      <w:u w:val="single"/>
    </w:rPr>
  </w:style>
  <w:style w:type="character" w:styleId="Hyperlink">
    <w:name w:val="Hyperlink"/>
    <w:basedOn w:val="DefaultParagraphFont"/>
    <w:uiPriority w:val="99"/>
    <w:unhideWhenUsed/>
    <w:rsid w:val="009A5867"/>
    <w:rPr>
      <w:color w:val="7E7B99" w:themeColor="text2" w:themeTint="99"/>
      <w:u w:val="single"/>
    </w:rPr>
  </w:style>
  <w:style w:type="character" w:styleId="FollowedHyperlink">
    <w:name w:val="FollowedHyperlink"/>
    <w:basedOn w:val="DefaultParagraphFont"/>
    <w:uiPriority w:val="99"/>
    <w:semiHidden/>
    <w:unhideWhenUsed/>
    <w:rsid w:val="009A5867"/>
    <w:rPr>
      <w:color w:val="9F6715" w:themeColor="followedHyperlink"/>
      <w:u w:val="single"/>
    </w:rPr>
  </w:style>
  <w:style w:type="paragraph" w:styleId="NoSpacing">
    <w:name w:val="No Spacing"/>
    <w:link w:val="NoSpacingChar"/>
    <w:uiPriority w:val="1"/>
    <w:qFormat/>
    <w:rsid w:val="009A5867"/>
    <w:pPr>
      <w:spacing w:after="0" w:line="240" w:lineRule="auto"/>
    </w:pPr>
  </w:style>
  <w:style w:type="character" w:customStyle="1" w:styleId="NoSpacingChar">
    <w:name w:val="No Spacing Char"/>
    <w:basedOn w:val="DefaultParagraphFont"/>
    <w:link w:val="NoSpacing"/>
    <w:uiPriority w:val="1"/>
    <w:rsid w:val="009A5867"/>
  </w:style>
  <w:style w:type="paragraph" w:styleId="Quote">
    <w:name w:val="Quote"/>
    <w:basedOn w:val="Normal"/>
    <w:next w:val="Normal"/>
    <w:link w:val="QuoteChar"/>
    <w:uiPriority w:val="29"/>
    <w:qFormat/>
    <w:rsid w:val="009A5867"/>
    <w:pPr>
      <w:spacing w:before="160"/>
      <w:ind w:left="864" w:right="864"/>
    </w:pPr>
    <w:rPr>
      <w:rFonts w:asciiTheme="majorHAnsi" w:eastAsiaTheme="majorEastAsia" w:hAnsiTheme="majorHAnsi" w:cstheme="majorBidi"/>
    </w:rPr>
  </w:style>
  <w:style w:type="character" w:customStyle="1" w:styleId="QuoteChar">
    <w:name w:val="Quote Char"/>
    <w:basedOn w:val="DefaultParagraphFont"/>
    <w:link w:val="Quote"/>
    <w:uiPriority w:val="29"/>
    <w:rsid w:val="009A5867"/>
    <w:rPr>
      <w:rFonts w:asciiTheme="majorHAnsi" w:eastAsiaTheme="majorEastAsia" w:hAnsiTheme="majorHAnsi" w:cstheme="majorBidi"/>
    </w:rPr>
  </w:style>
  <w:style w:type="character" w:styleId="Strong">
    <w:name w:val="Strong"/>
    <w:basedOn w:val="DefaultParagraphFont"/>
    <w:uiPriority w:val="22"/>
    <w:qFormat/>
    <w:rsid w:val="009A5867"/>
    <w:rPr>
      <w:b/>
      <w:bCs/>
    </w:rPr>
  </w:style>
  <w:style w:type="paragraph" w:styleId="Subtitle">
    <w:name w:val="Subtitle"/>
    <w:basedOn w:val="Normal"/>
    <w:next w:val="Normal"/>
    <w:link w:val="SubtitleChar"/>
    <w:uiPriority w:val="11"/>
    <w:qFormat/>
    <w:rsid w:val="009A5867"/>
    <w:pPr>
      <w:numPr>
        <w:ilvl w:val="1"/>
      </w:numPr>
    </w:pPr>
    <w:rPr>
      <w:sz w:val="28"/>
      <w:szCs w:val="28"/>
    </w:rPr>
  </w:style>
  <w:style w:type="character" w:customStyle="1" w:styleId="SubtitleChar">
    <w:name w:val="Subtitle Char"/>
    <w:basedOn w:val="DefaultParagraphFont"/>
    <w:link w:val="Subtitle"/>
    <w:uiPriority w:val="11"/>
    <w:rsid w:val="009A5867"/>
    <w:rPr>
      <w:sz w:val="28"/>
      <w:szCs w:val="28"/>
    </w:rPr>
  </w:style>
  <w:style w:type="character" w:styleId="SubtleEmphasis">
    <w:name w:val="Subtle Emphasis"/>
    <w:basedOn w:val="DefaultParagraphFont"/>
    <w:uiPriority w:val="19"/>
    <w:qFormat/>
    <w:rsid w:val="009A5867"/>
    <w:rPr>
      <w:i/>
      <w:iCs/>
      <w:color w:val="595959" w:themeColor="text1" w:themeTint="A6"/>
    </w:rPr>
  </w:style>
  <w:style w:type="character" w:styleId="SubtleReference">
    <w:name w:val="Subtle Reference"/>
    <w:basedOn w:val="DefaultParagraphFont"/>
    <w:uiPriority w:val="31"/>
    <w:qFormat/>
    <w:rsid w:val="009A5867"/>
    <w:rPr>
      <w:caps w:val="0"/>
      <w:smallCaps/>
      <w:color w:val="404040" w:themeColor="text1" w:themeTint="BF"/>
      <w:u w:val="single" w:color="7F7F7F" w:themeColor="text1" w:themeTint="80"/>
    </w:rPr>
  </w:style>
  <w:style w:type="paragraph" w:styleId="Title">
    <w:name w:val="Title"/>
    <w:basedOn w:val="Normal"/>
    <w:next w:val="Normal"/>
    <w:link w:val="TitleChar"/>
    <w:uiPriority w:val="10"/>
    <w:qFormat/>
    <w:rsid w:val="009A5867"/>
    <w:pPr>
      <w:spacing w:after="0" w:line="240" w:lineRule="auto"/>
      <w:contextualSpacing/>
    </w:pPr>
    <w:rPr>
      <w:rFonts w:asciiTheme="majorHAnsi" w:eastAsiaTheme="majorEastAsia" w:hAnsiTheme="majorHAnsi" w:cstheme="majorBidi"/>
      <w:color w:val="3494BA" w:themeColor="accent1"/>
      <w:kern w:val="28"/>
      <w:sz w:val="72"/>
      <w:szCs w:val="72"/>
    </w:rPr>
  </w:style>
  <w:style w:type="character" w:customStyle="1" w:styleId="TitleChar">
    <w:name w:val="Title Char"/>
    <w:basedOn w:val="DefaultParagraphFont"/>
    <w:link w:val="Title"/>
    <w:uiPriority w:val="10"/>
    <w:rsid w:val="009A5867"/>
    <w:rPr>
      <w:rFonts w:asciiTheme="majorHAnsi" w:eastAsiaTheme="majorEastAsia" w:hAnsiTheme="majorHAnsi" w:cstheme="majorBidi"/>
      <w:color w:val="3494BA" w:themeColor="accent1"/>
      <w:kern w:val="28"/>
      <w:sz w:val="72"/>
      <w:szCs w:val="72"/>
    </w:rPr>
  </w:style>
  <w:style w:type="paragraph" w:styleId="ListParagraph">
    <w:name w:val="List Paragraph"/>
    <w:basedOn w:val="Normal"/>
    <w:uiPriority w:val="99"/>
    <w:qFormat/>
    <w:rsid w:val="009A5867"/>
    <w:pPr>
      <w:ind w:left="720"/>
      <w:contextualSpacing/>
    </w:pPr>
  </w:style>
  <w:style w:type="paragraph" w:styleId="BalloonText">
    <w:name w:val="Balloon Text"/>
    <w:basedOn w:val="Normal"/>
    <w:link w:val="BalloonTextChar"/>
    <w:uiPriority w:val="99"/>
    <w:semiHidden/>
    <w:unhideWhenUsed/>
    <w:rsid w:val="003359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5953"/>
    <w:rPr>
      <w:rFonts w:ascii="Segoe UI" w:hAnsi="Segoe UI" w:cs="Segoe UI"/>
      <w:sz w:val="18"/>
      <w:szCs w:val="18"/>
    </w:rPr>
  </w:style>
  <w:style w:type="table" w:customStyle="1" w:styleId="TableGrid">
    <w:name w:val="TableGrid"/>
    <w:rsid w:val="00335953"/>
    <w:pPr>
      <w:spacing w:after="0" w:line="240" w:lineRule="auto"/>
    </w:pPr>
    <w:rPr>
      <w:sz w:val="22"/>
      <w:szCs w:val="22"/>
      <w:lang w:eastAsia="en-US"/>
    </w:rPr>
    <w:tblPr>
      <w:tblCellMar>
        <w:top w:w="0" w:type="dxa"/>
        <w:left w:w="0" w:type="dxa"/>
        <w:bottom w:w="0" w:type="dxa"/>
        <w:right w:w="0" w:type="dxa"/>
      </w:tblCellMar>
    </w:tblPr>
  </w:style>
  <w:style w:type="paragraph" w:styleId="Header">
    <w:name w:val="header"/>
    <w:basedOn w:val="Normal"/>
    <w:link w:val="HeaderChar"/>
    <w:uiPriority w:val="99"/>
    <w:unhideWhenUsed/>
    <w:rsid w:val="006A6958"/>
    <w:pPr>
      <w:tabs>
        <w:tab w:val="center" w:pos="4703"/>
        <w:tab w:val="right" w:pos="9406"/>
      </w:tabs>
      <w:spacing w:after="0" w:line="240" w:lineRule="auto"/>
    </w:pPr>
  </w:style>
  <w:style w:type="character" w:customStyle="1" w:styleId="HeaderChar">
    <w:name w:val="Header Char"/>
    <w:basedOn w:val="DefaultParagraphFont"/>
    <w:link w:val="Header"/>
    <w:uiPriority w:val="99"/>
    <w:rsid w:val="006A6958"/>
    <w:rPr>
      <w:sz w:val="20"/>
    </w:rPr>
  </w:style>
  <w:style w:type="paragraph" w:styleId="Footer">
    <w:name w:val="footer"/>
    <w:basedOn w:val="Normal"/>
    <w:link w:val="FooterChar"/>
    <w:uiPriority w:val="99"/>
    <w:unhideWhenUsed/>
    <w:rsid w:val="006A6958"/>
    <w:pPr>
      <w:tabs>
        <w:tab w:val="center" w:pos="4703"/>
        <w:tab w:val="right" w:pos="9406"/>
      </w:tabs>
      <w:spacing w:after="0" w:line="240" w:lineRule="auto"/>
    </w:pPr>
  </w:style>
  <w:style w:type="character" w:customStyle="1" w:styleId="FooterChar">
    <w:name w:val="Footer Char"/>
    <w:basedOn w:val="DefaultParagraphFont"/>
    <w:link w:val="Footer"/>
    <w:uiPriority w:val="99"/>
    <w:rsid w:val="006A6958"/>
    <w:rPr>
      <w:sz w:val="20"/>
    </w:rPr>
  </w:style>
  <w:style w:type="paragraph" w:customStyle="1" w:styleId="footnotedescription">
    <w:name w:val="footnote description"/>
    <w:next w:val="Normal"/>
    <w:link w:val="footnotedescriptionChar"/>
    <w:hidden/>
    <w:rsid w:val="00CE4288"/>
    <w:pPr>
      <w:spacing w:after="246" w:line="277" w:lineRule="auto"/>
      <w:ind w:left="240" w:right="359"/>
    </w:pPr>
    <w:rPr>
      <w:rFonts w:ascii="Calibri" w:eastAsia="Calibri" w:hAnsi="Calibri" w:cs="Calibri"/>
      <w:color w:val="000000"/>
      <w:sz w:val="22"/>
      <w:szCs w:val="22"/>
      <w:lang w:eastAsia="en-US"/>
    </w:rPr>
  </w:style>
  <w:style w:type="character" w:customStyle="1" w:styleId="footnotedescriptionChar">
    <w:name w:val="footnote description Char"/>
    <w:link w:val="footnotedescription"/>
    <w:rsid w:val="00CE4288"/>
    <w:rPr>
      <w:rFonts w:ascii="Calibri" w:eastAsia="Calibri" w:hAnsi="Calibri" w:cs="Calibri"/>
      <w:color w:val="000000"/>
      <w:sz w:val="22"/>
      <w:szCs w:val="22"/>
      <w:lang w:eastAsia="en-US"/>
    </w:rPr>
  </w:style>
  <w:style w:type="character" w:customStyle="1" w:styleId="footnotemark">
    <w:name w:val="footnote mark"/>
    <w:hidden/>
    <w:rsid w:val="00CE4288"/>
    <w:rPr>
      <w:rFonts w:ascii="Cambria" w:eastAsia="Cambria" w:hAnsi="Cambria" w:cs="Cambria"/>
      <w:b/>
      <w:color w:val="4F81BD"/>
      <w:sz w:val="22"/>
      <w:vertAlign w:val="superscript"/>
    </w:rPr>
  </w:style>
  <w:style w:type="table" w:customStyle="1" w:styleId="GridTable4-Accent11">
    <w:name w:val="Grid Table 4 - Accent 11"/>
    <w:basedOn w:val="TableNormal"/>
    <w:uiPriority w:val="49"/>
    <w:rsid w:val="00681922"/>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customStyle="1" w:styleId="PlainTable51">
    <w:name w:val="Plain Table 51"/>
    <w:aliases w:val="Plain Table 5,Tabela Za godisnji"/>
    <w:basedOn w:val="TableNormal"/>
    <w:uiPriority w:val="45"/>
    <w:rsid w:val="00240046"/>
    <w:pPr>
      <w:spacing w:after="0" w:line="240" w:lineRule="auto"/>
      <w:jc w:val="right"/>
    </w:pPr>
    <w:tblPr>
      <w:tblStyleRowBandSize w:val="1"/>
      <w:tblStyleColBandSize w:val="1"/>
    </w:tblPr>
    <w:tcPr>
      <w:vAlign w:val="center"/>
    </w:tcPr>
    <w:tblStylePr w:type="firstRow">
      <w:pPr>
        <w:jc w:val="right"/>
      </w:pPr>
      <w:rPr>
        <w:rFonts w:asciiTheme="majorHAnsi" w:eastAsiaTheme="majorEastAsia" w:hAnsiTheme="majorHAnsi" w:cstheme="majorBidi"/>
        <w:b/>
        <w:i/>
        <w:iCs/>
        <w:color w:val="FFFFFF" w:themeColor="background1"/>
        <w:sz w:val="26"/>
      </w:rPr>
      <w:tblPr/>
      <w:tcPr>
        <w:shd w:val="clear" w:color="auto" w:fill="3494BA" w:themeFill="accent1"/>
      </w:tcPr>
    </w:tblStylePr>
    <w:tblStylePr w:type="lastRow">
      <w:rPr>
        <w:rFonts w:asciiTheme="majorHAnsi" w:eastAsiaTheme="majorEastAsia" w:hAnsiTheme="majorHAnsi" w:cstheme="majorBidi"/>
        <w:i/>
        <w:iCs/>
        <w:sz w:val="26"/>
      </w:rPr>
      <w:tblPr/>
      <w:tcPr>
        <w:tcBorders>
          <w:top w:val="nil"/>
          <w:left w:val="nil"/>
          <w:bottom w:val="nil"/>
          <w:right w:val="nil"/>
          <w:insideH w:val="nil"/>
          <w:insideV w:val="nil"/>
          <w:tl2br w:val="nil"/>
          <w:tr2bl w:val="nil"/>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2Vert">
      <w:pPr>
        <w:jc w:val="right"/>
      </w:pPr>
    </w:tblStylePr>
    <w:tblStylePr w:type="band1Horz">
      <w:rPr>
        <w:color w:val="auto"/>
      </w:rPr>
      <w:tblPr/>
      <w:tcPr>
        <w:shd w:val="clear" w:color="auto" w:fill="F2F2F2" w:themeFill="background1" w:themeFillShade="F2"/>
      </w:tcPr>
    </w:tblStylePr>
    <w:tblStylePr w:type="band2Horz">
      <w:pPr>
        <w:jc w:val="right"/>
      </w:pPr>
      <w:rPr>
        <w:color w:val="000000" w:themeColor="text1"/>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1">
    <w:name w:val="Plain Table 41"/>
    <w:basedOn w:val="TableNormal"/>
    <w:uiPriority w:val="44"/>
    <w:rsid w:val="00C148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CommentTextChar">
    <w:name w:val="Comment Text Char"/>
    <w:basedOn w:val="DefaultParagraphFont"/>
    <w:link w:val="CommentText"/>
    <w:uiPriority w:val="99"/>
    <w:semiHidden/>
    <w:rsid w:val="00E86A6D"/>
    <w:rPr>
      <w:rFonts w:ascii="Calibri" w:eastAsia="Calibri" w:hAnsi="Calibri" w:cs="Calibri"/>
      <w:color w:val="000000"/>
      <w:sz w:val="20"/>
      <w:szCs w:val="20"/>
      <w:lang w:eastAsia="en-US"/>
    </w:rPr>
  </w:style>
  <w:style w:type="paragraph" w:styleId="CommentText">
    <w:name w:val="annotation text"/>
    <w:basedOn w:val="Normal"/>
    <w:link w:val="CommentTextChar"/>
    <w:uiPriority w:val="99"/>
    <w:semiHidden/>
    <w:unhideWhenUsed/>
    <w:rsid w:val="00E86A6D"/>
    <w:pPr>
      <w:spacing w:after="5" w:line="240" w:lineRule="auto"/>
      <w:ind w:left="113" w:right="119" w:firstLine="710"/>
    </w:pPr>
    <w:rPr>
      <w:rFonts w:ascii="Calibri" w:eastAsia="Calibri" w:hAnsi="Calibri" w:cs="Calibri"/>
      <w:color w:val="000000"/>
      <w:szCs w:val="20"/>
      <w:lang w:eastAsia="en-US"/>
    </w:rPr>
  </w:style>
  <w:style w:type="character" w:customStyle="1" w:styleId="CommentSubjectChar">
    <w:name w:val="Comment Subject Char"/>
    <w:basedOn w:val="CommentTextChar"/>
    <w:link w:val="CommentSubject"/>
    <w:uiPriority w:val="99"/>
    <w:semiHidden/>
    <w:rsid w:val="00E86A6D"/>
    <w:rPr>
      <w:rFonts w:ascii="Calibri" w:eastAsia="Calibri" w:hAnsi="Calibri" w:cs="Calibri"/>
      <w:b/>
      <w:bCs/>
      <w:color w:val="000000"/>
      <w:sz w:val="20"/>
      <w:szCs w:val="20"/>
      <w:lang w:eastAsia="en-US"/>
    </w:rPr>
  </w:style>
  <w:style w:type="paragraph" w:styleId="CommentSubject">
    <w:name w:val="annotation subject"/>
    <w:basedOn w:val="CommentText"/>
    <w:next w:val="CommentText"/>
    <w:link w:val="CommentSubjectChar"/>
    <w:uiPriority w:val="99"/>
    <w:semiHidden/>
    <w:unhideWhenUsed/>
    <w:rsid w:val="00E86A6D"/>
    <w:rPr>
      <w:b/>
      <w:bCs/>
    </w:rPr>
  </w:style>
  <w:style w:type="paragraph" w:styleId="NormalWeb">
    <w:name w:val="Normal (Web)"/>
    <w:basedOn w:val="Normal"/>
    <w:uiPriority w:val="99"/>
    <w:unhideWhenUsed/>
    <w:rsid w:val="00E86A6D"/>
    <w:pPr>
      <w:spacing w:before="100" w:beforeAutospacing="1" w:after="100" w:afterAutospacing="1" w:line="240" w:lineRule="auto"/>
      <w:jc w:val="left"/>
    </w:pPr>
    <w:rPr>
      <w:rFonts w:ascii="Times New Roman" w:eastAsia="Times New Roman" w:hAnsi="Times New Roman" w:cs="Times New Roman"/>
      <w:sz w:val="24"/>
      <w:szCs w:val="24"/>
    </w:rPr>
  </w:style>
  <w:style w:type="table" w:styleId="TableGrid0">
    <w:name w:val="Table Grid"/>
    <w:basedOn w:val="TableNormal"/>
    <w:uiPriority w:val="39"/>
    <w:rsid w:val="002400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8A32C9"/>
    <w:pPr>
      <w:autoSpaceDE w:val="0"/>
      <w:autoSpaceDN w:val="0"/>
      <w:jc w:val="center"/>
    </w:pPr>
    <w:rPr>
      <w:rFonts w:ascii="Times New Roman" w:hAnsi="Times New Roman"/>
      <w:szCs w:val="24"/>
      <w:lang w:val="sl-SI" w:eastAsia="sr-Latn-CS"/>
    </w:rPr>
  </w:style>
  <w:style w:type="character" w:customStyle="1" w:styleId="BodyTextChar">
    <w:name w:val="Body Text Char"/>
    <w:basedOn w:val="DefaultParagraphFont"/>
    <w:link w:val="BodyText"/>
    <w:uiPriority w:val="99"/>
    <w:rsid w:val="008A32C9"/>
    <w:rPr>
      <w:rFonts w:ascii="Times New Roman" w:hAnsi="Times New Roman"/>
      <w:noProof/>
      <w:sz w:val="20"/>
      <w:szCs w:val="24"/>
      <w:lang w:val="sl-SI" w:eastAsia="sr-Latn-CS"/>
    </w:rPr>
  </w:style>
  <w:style w:type="paragraph" w:customStyle="1" w:styleId="Textbody">
    <w:name w:val="Text body"/>
    <w:basedOn w:val="Normal"/>
    <w:rsid w:val="000D12AD"/>
    <w:pPr>
      <w:widowControl w:val="0"/>
      <w:suppressAutoHyphens/>
      <w:autoSpaceDN w:val="0"/>
      <w:spacing w:after="120" w:line="240" w:lineRule="auto"/>
      <w:jc w:val="left"/>
      <w:textAlignment w:val="baseline"/>
    </w:pPr>
    <w:rPr>
      <w:rFonts w:ascii="Times New Roman" w:eastAsia="SimSun" w:hAnsi="Times New Roman" w:cs="Mangal"/>
      <w:noProof w:val="0"/>
      <w:kern w:val="3"/>
      <w:sz w:val="24"/>
      <w:szCs w:val="24"/>
      <w:lang w:eastAsia="zh-CN" w:bidi="hi-IN"/>
    </w:rPr>
  </w:style>
  <w:style w:type="paragraph" w:customStyle="1" w:styleId="Standard">
    <w:name w:val="Standard"/>
    <w:rsid w:val="000D12AD"/>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styleId="TOCHeading">
    <w:name w:val="TOC Heading"/>
    <w:basedOn w:val="Heading1"/>
    <w:next w:val="Normal"/>
    <w:uiPriority w:val="39"/>
    <w:unhideWhenUsed/>
    <w:qFormat/>
    <w:rsid w:val="00CA10BE"/>
    <w:pPr>
      <w:spacing w:before="240" w:after="0" w:line="259" w:lineRule="auto"/>
      <w:jc w:val="left"/>
      <w:outlineLvl w:val="9"/>
    </w:pPr>
    <w:rPr>
      <w:noProof w:val="0"/>
      <w:color w:val="276E8B" w:themeColor="accent1" w:themeShade="BF"/>
      <w:sz w:val="32"/>
      <w:szCs w:val="32"/>
      <w:lang w:eastAsia="en-US"/>
    </w:rPr>
  </w:style>
  <w:style w:type="paragraph" w:styleId="TOC1">
    <w:name w:val="toc 1"/>
    <w:basedOn w:val="Normal"/>
    <w:next w:val="Normal"/>
    <w:autoRedefine/>
    <w:uiPriority w:val="39"/>
    <w:unhideWhenUsed/>
    <w:rsid w:val="00CA10BE"/>
    <w:pPr>
      <w:spacing w:after="100"/>
    </w:pPr>
  </w:style>
  <w:style w:type="paragraph" w:styleId="TOC2">
    <w:name w:val="toc 2"/>
    <w:basedOn w:val="Normal"/>
    <w:next w:val="Normal"/>
    <w:autoRedefine/>
    <w:uiPriority w:val="39"/>
    <w:unhideWhenUsed/>
    <w:rsid w:val="00CA10BE"/>
    <w:pPr>
      <w:spacing w:after="100"/>
      <w:ind w:left="200"/>
    </w:pPr>
  </w:style>
  <w:style w:type="paragraph" w:styleId="TOC3">
    <w:name w:val="toc 3"/>
    <w:basedOn w:val="Normal"/>
    <w:next w:val="Normal"/>
    <w:autoRedefine/>
    <w:uiPriority w:val="39"/>
    <w:unhideWhenUsed/>
    <w:rsid w:val="00CA10BE"/>
    <w:pPr>
      <w:spacing w:after="100"/>
      <w:ind w:left="400"/>
    </w:pPr>
  </w:style>
  <w:style w:type="paragraph" w:styleId="TOC4">
    <w:name w:val="toc 4"/>
    <w:basedOn w:val="Normal"/>
    <w:next w:val="Normal"/>
    <w:autoRedefine/>
    <w:uiPriority w:val="39"/>
    <w:unhideWhenUsed/>
    <w:rsid w:val="00935771"/>
    <w:pPr>
      <w:spacing w:after="100" w:line="259" w:lineRule="auto"/>
      <w:ind w:left="660"/>
      <w:jc w:val="left"/>
    </w:pPr>
    <w:rPr>
      <w:noProof w:val="0"/>
      <w:sz w:val="22"/>
      <w:szCs w:val="22"/>
      <w:lang w:eastAsia="en-US"/>
    </w:rPr>
  </w:style>
  <w:style w:type="paragraph" w:styleId="TOC5">
    <w:name w:val="toc 5"/>
    <w:basedOn w:val="Normal"/>
    <w:next w:val="Normal"/>
    <w:autoRedefine/>
    <w:uiPriority w:val="39"/>
    <w:unhideWhenUsed/>
    <w:rsid w:val="00935771"/>
    <w:pPr>
      <w:spacing w:after="100" w:line="259" w:lineRule="auto"/>
      <w:ind w:left="880"/>
      <w:jc w:val="left"/>
    </w:pPr>
    <w:rPr>
      <w:noProof w:val="0"/>
      <w:sz w:val="22"/>
      <w:szCs w:val="22"/>
      <w:lang w:eastAsia="en-US"/>
    </w:rPr>
  </w:style>
  <w:style w:type="paragraph" w:styleId="TOC6">
    <w:name w:val="toc 6"/>
    <w:basedOn w:val="Normal"/>
    <w:next w:val="Normal"/>
    <w:autoRedefine/>
    <w:uiPriority w:val="39"/>
    <w:unhideWhenUsed/>
    <w:rsid w:val="00935771"/>
    <w:pPr>
      <w:spacing w:after="100" w:line="259" w:lineRule="auto"/>
      <w:ind w:left="1100"/>
      <w:jc w:val="left"/>
    </w:pPr>
    <w:rPr>
      <w:noProof w:val="0"/>
      <w:sz w:val="22"/>
      <w:szCs w:val="22"/>
      <w:lang w:eastAsia="en-US"/>
    </w:rPr>
  </w:style>
  <w:style w:type="paragraph" w:styleId="TOC7">
    <w:name w:val="toc 7"/>
    <w:basedOn w:val="Normal"/>
    <w:next w:val="Normal"/>
    <w:autoRedefine/>
    <w:uiPriority w:val="39"/>
    <w:unhideWhenUsed/>
    <w:rsid w:val="00935771"/>
    <w:pPr>
      <w:spacing w:after="100" w:line="259" w:lineRule="auto"/>
      <w:ind w:left="1320"/>
      <w:jc w:val="left"/>
    </w:pPr>
    <w:rPr>
      <w:noProof w:val="0"/>
      <w:sz w:val="22"/>
      <w:szCs w:val="22"/>
      <w:lang w:eastAsia="en-US"/>
    </w:rPr>
  </w:style>
  <w:style w:type="paragraph" w:styleId="TOC8">
    <w:name w:val="toc 8"/>
    <w:basedOn w:val="Normal"/>
    <w:next w:val="Normal"/>
    <w:autoRedefine/>
    <w:uiPriority w:val="39"/>
    <w:unhideWhenUsed/>
    <w:rsid w:val="00935771"/>
    <w:pPr>
      <w:spacing w:after="100" w:line="259" w:lineRule="auto"/>
      <w:ind w:left="1540"/>
      <w:jc w:val="left"/>
    </w:pPr>
    <w:rPr>
      <w:noProof w:val="0"/>
      <w:sz w:val="22"/>
      <w:szCs w:val="22"/>
      <w:lang w:eastAsia="en-US"/>
    </w:rPr>
  </w:style>
  <w:style w:type="paragraph" w:styleId="TOC9">
    <w:name w:val="toc 9"/>
    <w:basedOn w:val="Normal"/>
    <w:next w:val="Normal"/>
    <w:autoRedefine/>
    <w:uiPriority w:val="39"/>
    <w:unhideWhenUsed/>
    <w:rsid w:val="00935771"/>
    <w:pPr>
      <w:spacing w:after="100" w:line="259" w:lineRule="auto"/>
      <w:ind w:left="1760"/>
      <w:jc w:val="left"/>
    </w:pPr>
    <w:rPr>
      <w:noProof w:val="0"/>
      <w:sz w:val="22"/>
      <w:szCs w:val="22"/>
      <w:lang w:eastAsia="en-US"/>
    </w:rPr>
  </w:style>
  <w:style w:type="character" w:customStyle="1" w:styleId="CommentTextChar1">
    <w:name w:val="Comment Text Char1"/>
    <w:uiPriority w:val="99"/>
    <w:semiHidden/>
    <w:rsid w:val="004D2CA5"/>
    <w:rPr>
      <w:noProof/>
      <w:sz w:val="20"/>
      <w:szCs w:val="20"/>
    </w:rPr>
  </w:style>
  <w:style w:type="character" w:customStyle="1" w:styleId="CommentSubjectChar1">
    <w:name w:val="Comment Subject Char1"/>
    <w:uiPriority w:val="99"/>
    <w:semiHidden/>
    <w:rsid w:val="004D2CA5"/>
    <w:rPr>
      <w:b/>
      <w:bCs/>
      <w:noProof/>
      <w:sz w:val="20"/>
      <w:szCs w:val="20"/>
    </w:rPr>
  </w:style>
  <w:style w:type="character" w:customStyle="1" w:styleId="il">
    <w:name w:val="il"/>
    <w:basedOn w:val="DefaultParagraphFont"/>
    <w:rsid w:val="004D2CA5"/>
  </w:style>
  <w:style w:type="character" w:customStyle="1" w:styleId="apple-converted-space">
    <w:name w:val="apple-converted-space"/>
    <w:basedOn w:val="DefaultParagraphFont"/>
    <w:rsid w:val="0002290D"/>
  </w:style>
  <w:style w:type="table" w:customStyle="1" w:styleId="TabelaZagodisnji1">
    <w:name w:val="Tabela Za godisnji1"/>
    <w:basedOn w:val="TableNormal"/>
    <w:uiPriority w:val="45"/>
    <w:rsid w:val="0002290D"/>
    <w:pPr>
      <w:spacing w:after="0" w:line="240" w:lineRule="auto"/>
      <w:jc w:val="right"/>
    </w:pPr>
    <w:tblPr>
      <w:tblStyleRowBandSize w:val="1"/>
      <w:tblStyleColBandSize w:val="1"/>
    </w:tblPr>
    <w:tcPr>
      <w:vAlign w:val="center"/>
    </w:tcPr>
    <w:tblStylePr w:type="firstRow">
      <w:pPr>
        <w:jc w:val="right"/>
      </w:pPr>
      <w:rPr>
        <w:rFonts w:ascii="Cambria" w:eastAsia="Times New Roman" w:hAnsi="Cambria" w:cs="Times New Roman"/>
        <w:b/>
        <w:i/>
        <w:iCs/>
        <w:color w:val="FFFFFF"/>
        <w:sz w:val="26"/>
      </w:rPr>
      <w:tblPr/>
      <w:tcPr>
        <w:shd w:val="clear" w:color="auto" w:fill="4F81BD"/>
      </w:tcPr>
    </w:tblStylePr>
    <w:tblStylePr w:type="lastRow">
      <w:rPr>
        <w:rFonts w:ascii="Cambria" w:eastAsia="Times New Roman" w:hAnsi="Cambria" w:cs="Times New Roman"/>
        <w:i/>
        <w:iCs/>
        <w:sz w:val="26"/>
      </w:rPr>
      <w:tblPr/>
      <w:tcPr>
        <w:tcBorders>
          <w:top w:val="nil"/>
          <w:left w:val="nil"/>
          <w:bottom w:val="nil"/>
          <w:right w:val="nil"/>
          <w:insideH w:val="nil"/>
          <w:insideV w:val="nil"/>
          <w:tl2br w:val="nil"/>
          <w:tr2bl w:val="nil"/>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2Vert">
      <w:pPr>
        <w:jc w:val="right"/>
      </w:pPr>
    </w:tblStylePr>
    <w:tblStylePr w:type="band1Horz">
      <w:rPr>
        <w:color w:val="auto"/>
      </w:rPr>
      <w:tblPr/>
      <w:tcPr>
        <w:shd w:val="clear" w:color="auto" w:fill="F2F2F2"/>
      </w:tcPr>
    </w:tblStylePr>
    <w:tblStylePr w:type="band2Horz">
      <w:pPr>
        <w:jc w:val="right"/>
      </w:pPr>
      <w:rPr>
        <w:color w:val="000000"/>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vision">
    <w:name w:val="Revision"/>
    <w:hidden/>
    <w:uiPriority w:val="99"/>
    <w:semiHidden/>
    <w:rsid w:val="0002290D"/>
    <w:pPr>
      <w:spacing w:after="0" w:line="240" w:lineRule="auto"/>
    </w:pPr>
    <w:rPr>
      <w:noProof/>
      <w:sz w:val="20"/>
    </w:rPr>
  </w:style>
  <w:style w:type="table" w:customStyle="1" w:styleId="PlainTable52">
    <w:name w:val="Plain Table 52"/>
    <w:basedOn w:val="TableNormal"/>
    <w:uiPriority w:val="45"/>
    <w:rsid w:val="00046261"/>
    <w:pPr>
      <w:spacing w:after="0" w:line="240" w:lineRule="auto"/>
      <w:jc w:val="right"/>
    </w:pPr>
    <w:tblPr>
      <w:tblStyleRowBandSize w:val="1"/>
      <w:tblStyleColBandSize w:val="1"/>
    </w:tblPr>
    <w:tcPr>
      <w:vAlign w:val="center"/>
    </w:tcPr>
    <w:tblStylePr w:type="firstRow">
      <w:pPr>
        <w:jc w:val="right"/>
      </w:pPr>
      <w:rPr>
        <w:rFonts w:asciiTheme="majorHAnsi" w:eastAsiaTheme="majorEastAsia" w:hAnsiTheme="majorHAnsi" w:cstheme="majorBidi"/>
        <w:b/>
        <w:i/>
        <w:iCs/>
        <w:color w:val="FFFFFF" w:themeColor="background1"/>
        <w:sz w:val="26"/>
      </w:rPr>
      <w:tblPr/>
      <w:tcPr>
        <w:shd w:val="clear" w:color="auto" w:fill="3494BA" w:themeFill="accent1"/>
      </w:tcPr>
    </w:tblStylePr>
    <w:tblStylePr w:type="lastRow">
      <w:rPr>
        <w:rFonts w:asciiTheme="majorHAnsi" w:eastAsiaTheme="majorEastAsia" w:hAnsiTheme="majorHAnsi" w:cstheme="majorBidi"/>
        <w:i/>
        <w:iCs/>
        <w:sz w:val="26"/>
      </w:rPr>
      <w:tblPr/>
      <w:tcPr>
        <w:tcBorders>
          <w:top w:val="nil"/>
          <w:left w:val="nil"/>
          <w:bottom w:val="nil"/>
          <w:right w:val="nil"/>
          <w:insideH w:val="nil"/>
          <w:insideV w:val="nil"/>
          <w:tl2br w:val="nil"/>
          <w:tr2bl w:val="nil"/>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2Vert">
      <w:pPr>
        <w:jc w:val="right"/>
      </w:pPr>
    </w:tblStylePr>
    <w:tblStylePr w:type="band1Horz">
      <w:rPr>
        <w:color w:val="auto"/>
      </w:rPr>
      <w:tblPr/>
      <w:tcPr>
        <w:shd w:val="clear" w:color="auto" w:fill="F2F2F2" w:themeFill="background1" w:themeFillShade="F2"/>
      </w:tcPr>
    </w:tblStylePr>
    <w:tblStylePr w:type="band2Horz">
      <w:pPr>
        <w:jc w:val="right"/>
      </w:pPr>
      <w:rPr>
        <w:color w:val="000000" w:themeColor="text1"/>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Zagodisnji2">
    <w:name w:val="Tabela Za godisnji2"/>
    <w:basedOn w:val="TableNormal"/>
    <w:uiPriority w:val="45"/>
    <w:rsid w:val="00046261"/>
    <w:pPr>
      <w:spacing w:after="0" w:line="240" w:lineRule="auto"/>
      <w:jc w:val="right"/>
    </w:pPr>
    <w:tblPr>
      <w:tblStyleRowBandSize w:val="1"/>
      <w:tblStyleColBandSize w:val="1"/>
    </w:tblPr>
    <w:tcPr>
      <w:vAlign w:val="center"/>
    </w:tcPr>
    <w:tblStylePr w:type="firstRow">
      <w:pPr>
        <w:jc w:val="right"/>
      </w:pPr>
      <w:rPr>
        <w:rFonts w:asciiTheme="majorHAnsi" w:eastAsiaTheme="majorEastAsia" w:hAnsiTheme="majorHAnsi" w:cstheme="majorBidi"/>
        <w:b/>
        <w:i/>
        <w:iCs/>
        <w:color w:val="FFFFFF" w:themeColor="background1"/>
        <w:sz w:val="26"/>
      </w:rPr>
      <w:tblPr/>
      <w:tcPr>
        <w:shd w:val="clear" w:color="auto" w:fill="3494BA" w:themeFill="accent1"/>
      </w:tcPr>
    </w:tblStylePr>
    <w:tblStylePr w:type="lastRow">
      <w:rPr>
        <w:rFonts w:asciiTheme="majorHAnsi" w:eastAsiaTheme="majorEastAsia" w:hAnsiTheme="majorHAnsi" w:cstheme="majorBidi"/>
        <w:i/>
        <w:iCs/>
        <w:sz w:val="26"/>
      </w:rPr>
      <w:tblPr/>
      <w:tcPr>
        <w:tcBorders>
          <w:top w:val="nil"/>
          <w:left w:val="nil"/>
          <w:bottom w:val="nil"/>
          <w:right w:val="nil"/>
          <w:insideH w:val="nil"/>
          <w:insideV w:val="nil"/>
          <w:tl2br w:val="nil"/>
          <w:tr2bl w:val="nil"/>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2Vert">
      <w:pPr>
        <w:jc w:val="right"/>
      </w:pPr>
    </w:tblStylePr>
    <w:tblStylePr w:type="band1Horz">
      <w:rPr>
        <w:color w:val="auto"/>
      </w:rPr>
      <w:tblPr/>
      <w:tcPr>
        <w:shd w:val="clear" w:color="auto" w:fill="F2F2F2" w:themeFill="background1" w:themeFillShade="F2"/>
      </w:tcPr>
    </w:tblStylePr>
    <w:tblStylePr w:type="band2Horz">
      <w:pPr>
        <w:jc w:val="right"/>
      </w:pPr>
      <w:rPr>
        <w:color w:val="000000" w:themeColor="text1"/>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Zagodisnji3">
    <w:name w:val="Tabela Za godisnji3"/>
    <w:basedOn w:val="TableNormal"/>
    <w:uiPriority w:val="45"/>
    <w:rsid w:val="00046261"/>
    <w:pPr>
      <w:spacing w:after="0" w:line="240" w:lineRule="auto"/>
      <w:jc w:val="right"/>
    </w:pPr>
    <w:tblPr>
      <w:tblStyleRowBandSize w:val="1"/>
      <w:tblStyleColBandSize w:val="1"/>
    </w:tblPr>
    <w:tcPr>
      <w:vAlign w:val="center"/>
    </w:tcPr>
    <w:tblStylePr w:type="firstRow">
      <w:pPr>
        <w:jc w:val="right"/>
      </w:pPr>
      <w:rPr>
        <w:rFonts w:asciiTheme="majorHAnsi" w:eastAsiaTheme="majorEastAsia" w:hAnsiTheme="majorHAnsi" w:cstheme="majorBidi"/>
        <w:b/>
        <w:i/>
        <w:iCs/>
        <w:color w:val="FFFFFF" w:themeColor="background1"/>
        <w:sz w:val="26"/>
      </w:rPr>
      <w:tblPr/>
      <w:tcPr>
        <w:shd w:val="clear" w:color="auto" w:fill="3494BA" w:themeFill="accent1"/>
      </w:tcPr>
    </w:tblStylePr>
    <w:tblStylePr w:type="lastRow">
      <w:rPr>
        <w:rFonts w:asciiTheme="majorHAnsi" w:eastAsiaTheme="majorEastAsia" w:hAnsiTheme="majorHAnsi" w:cstheme="majorBidi"/>
        <w:i/>
        <w:iCs/>
        <w:sz w:val="26"/>
      </w:rPr>
      <w:tblPr/>
      <w:tcPr>
        <w:tcBorders>
          <w:top w:val="nil"/>
          <w:left w:val="nil"/>
          <w:bottom w:val="nil"/>
          <w:right w:val="nil"/>
          <w:insideH w:val="nil"/>
          <w:insideV w:val="nil"/>
          <w:tl2br w:val="nil"/>
          <w:tr2bl w:val="nil"/>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2Vert">
      <w:pPr>
        <w:jc w:val="right"/>
      </w:pPr>
    </w:tblStylePr>
    <w:tblStylePr w:type="band1Horz">
      <w:rPr>
        <w:color w:val="auto"/>
      </w:rPr>
      <w:tblPr/>
      <w:tcPr>
        <w:shd w:val="clear" w:color="auto" w:fill="F2F2F2" w:themeFill="background1" w:themeFillShade="F2"/>
      </w:tcPr>
    </w:tblStylePr>
    <w:tblStylePr w:type="band2Horz">
      <w:pPr>
        <w:jc w:val="right"/>
      </w:pPr>
      <w:rPr>
        <w:color w:val="000000" w:themeColor="text1"/>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Zagodisnji4">
    <w:name w:val="Tabela Za godisnji4"/>
    <w:basedOn w:val="TableNormal"/>
    <w:uiPriority w:val="45"/>
    <w:rsid w:val="00046261"/>
    <w:pPr>
      <w:spacing w:after="0" w:line="240" w:lineRule="auto"/>
      <w:jc w:val="right"/>
    </w:pPr>
    <w:tblPr>
      <w:tblStyleRowBandSize w:val="1"/>
      <w:tblStyleColBandSize w:val="1"/>
    </w:tblPr>
    <w:tcPr>
      <w:vAlign w:val="center"/>
    </w:tcPr>
    <w:tblStylePr w:type="firstRow">
      <w:pPr>
        <w:jc w:val="right"/>
      </w:pPr>
      <w:rPr>
        <w:rFonts w:asciiTheme="majorHAnsi" w:eastAsiaTheme="majorEastAsia" w:hAnsiTheme="majorHAnsi" w:cstheme="majorBidi"/>
        <w:b/>
        <w:i/>
        <w:iCs/>
        <w:color w:val="FFFFFF" w:themeColor="background1"/>
        <w:sz w:val="26"/>
      </w:rPr>
      <w:tblPr/>
      <w:tcPr>
        <w:shd w:val="clear" w:color="auto" w:fill="3494BA" w:themeFill="accent1"/>
      </w:tcPr>
    </w:tblStylePr>
    <w:tblStylePr w:type="lastRow">
      <w:rPr>
        <w:rFonts w:asciiTheme="majorHAnsi" w:eastAsiaTheme="majorEastAsia" w:hAnsiTheme="majorHAnsi" w:cstheme="majorBidi"/>
        <w:i/>
        <w:iCs/>
        <w:sz w:val="26"/>
      </w:rPr>
      <w:tblPr/>
      <w:tcPr>
        <w:tcBorders>
          <w:top w:val="nil"/>
          <w:left w:val="nil"/>
          <w:bottom w:val="nil"/>
          <w:right w:val="nil"/>
          <w:insideH w:val="nil"/>
          <w:insideV w:val="nil"/>
          <w:tl2br w:val="nil"/>
          <w:tr2bl w:val="nil"/>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2Vert">
      <w:pPr>
        <w:jc w:val="right"/>
      </w:pPr>
    </w:tblStylePr>
    <w:tblStylePr w:type="band1Horz">
      <w:rPr>
        <w:color w:val="auto"/>
      </w:rPr>
      <w:tblPr/>
      <w:tcPr>
        <w:shd w:val="clear" w:color="auto" w:fill="F2F2F2" w:themeFill="background1" w:themeFillShade="F2"/>
      </w:tcPr>
    </w:tblStylePr>
    <w:tblStylePr w:type="band2Horz">
      <w:pPr>
        <w:jc w:val="right"/>
      </w:pPr>
      <w:rPr>
        <w:color w:val="000000" w:themeColor="text1"/>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Zagodisnji5">
    <w:name w:val="Tabela Za godisnji5"/>
    <w:basedOn w:val="TableNormal"/>
    <w:uiPriority w:val="45"/>
    <w:rsid w:val="00046261"/>
    <w:pPr>
      <w:spacing w:after="0" w:line="240" w:lineRule="auto"/>
      <w:jc w:val="right"/>
    </w:pPr>
    <w:tblPr>
      <w:tblStyleRowBandSize w:val="1"/>
      <w:tblStyleColBandSize w:val="1"/>
    </w:tblPr>
    <w:tcPr>
      <w:vAlign w:val="center"/>
    </w:tcPr>
    <w:tblStylePr w:type="firstRow">
      <w:pPr>
        <w:jc w:val="right"/>
      </w:pPr>
      <w:rPr>
        <w:rFonts w:asciiTheme="majorHAnsi" w:eastAsiaTheme="majorEastAsia" w:hAnsiTheme="majorHAnsi" w:cstheme="majorBidi"/>
        <w:b/>
        <w:i/>
        <w:iCs/>
        <w:color w:val="FFFFFF" w:themeColor="background1"/>
        <w:sz w:val="26"/>
      </w:rPr>
      <w:tblPr/>
      <w:tcPr>
        <w:shd w:val="clear" w:color="auto" w:fill="3494BA" w:themeFill="accent1"/>
      </w:tcPr>
    </w:tblStylePr>
    <w:tblStylePr w:type="lastRow">
      <w:rPr>
        <w:rFonts w:asciiTheme="majorHAnsi" w:eastAsiaTheme="majorEastAsia" w:hAnsiTheme="majorHAnsi" w:cstheme="majorBidi"/>
        <w:i/>
        <w:iCs/>
        <w:sz w:val="26"/>
      </w:rPr>
      <w:tblPr/>
      <w:tcPr>
        <w:tcBorders>
          <w:top w:val="nil"/>
          <w:left w:val="nil"/>
          <w:bottom w:val="nil"/>
          <w:right w:val="nil"/>
          <w:insideH w:val="nil"/>
          <w:insideV w:val="nil"/>
          <w:tl2br w:val="nil"/>
          <w:tr2bl w:val="nil"/>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2Vert">
      <w:pPr>
        <w:jc w:val="right"/>
      </w:pPr>
    </w:tblStylePr>
    <w:tblStylePr w:type="band1Horz">
      <w:rPr>
        <w:color w:val="auto"/>
      </w:rPr>
      <w:tblPr/>
      <w:tcPr>
        <w:shd w:val="clear" w:color="auto" w:fill="F2F2F2" w:themeFill="background1" w:themeFillShade="F2"/>
      </w:tcPr>
    </w:tblStylePr>
    <w:tblStylePr w:type="band2Horz">
      <w:pPr>
        <w:jc w:val="right"/>
      </w:pPr>
      <w:rPr>
        <w:color w:val="000000" w:themeColor="text1"/>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LO-normal1">
    <w:name w:val="LO-normal1"/>
    <w:basedOn w:val="Normal"/>
    <w:rsid w:val="007123F1"/>
    <w:pPr>
      <w:widowControl w:val="0"/>
      <w:suppressAutoHyphens/>
      <w:spacing w:before="280" w:after="280" w:line="240" w:lineRule="auto"/>
      <w:jc w:val="left"/>
    </w:pPr>
    <w:rPr>
      <w:rFonts w:ascii="Arial" w:eastAsia="Times New Roman" w:hAnsi="Arial" w:cs="Arial"/>
      <w:noProof w:val="0"/>
      <w:sz w:val="22"/>
      <w:szCs w:val="22"/>
      <w:lang w:eastAsia="zh-CN"/>
    </w:rPr>
  </w:style>
  <w:style w:type="paragraph" w:customStyle="1" w:styleId="LO-normal">
    <w:name w:val="LO-normal"/>
    <w:basedOn w:val="Normal"/>
    <w:rsid w:val="007123F1"/>
    <w:pPr>
      <w:widowControl w:val="0"/>
      <w:autoSpaceDE w:val="0"/>
      <w:spacing w:before="280" w:after="280" w:line="240" w:lineRule="auto"/>
      <w:jc w:val="left"/>
    </w:pPr>
    <w:rPr>
      <w:rFonts w:ascii="Times New Roman" w:eastAsia="Times New Roman" w:hAnsi="Times New Roman" w:cs="Times New Roman"/>
      <w:noProof w:val="0"/>
      <w:sz w:val="24"/>
      <w:szCs w:val="24"/>
      <w:lang w:eastAsia="zh-CN"/>
    </w:rPr>
  </w:style>
  <w:style w:type="table" w:customStyle="1" w:styleId="TabelaZagodisnji11">
    <w:name w:val="Tabela Za godisnji11"/>
    <w:basedOn w:val="TableNormal"/>
    <w:uiPriority w:val="45"/>
    <w:rsid w:val="007123F1"/>
    <w:pPr>
      <w:spacing w:after="0" w:line="240" w:lineRule="auto"/>
      <w:jc w:val="right"/>
    </w:pPr>
    <w:rPr>
      <w:rFonts w:eastAsia="Times New Roman"/>
    </w:rPr>
    <w:tblPr>
      <w:tblStyleRowBandSize w:val="1"/>
      <w:tblStyleColBandSize w:val="1"/>
    </w:tblPr>
    <w:tcPr>
      <w:vAlign w:val="center"/>
    </w:tcPr>
    <w:tblStylePr w:type="firstRow">
      <w:pPr>
        <w:jc w:val="right"/>
      </w:pPr>
      <w:rPr>
        <w:rFonts w:ascii="Century Gothic" w:eastAsia="Times New Roman" w:hAnsi="Century Gothic" w:cs="Times New Roman"/>
        <w:b/>
        <w:i/>
        <w:iCs/>
        <w:color w:val="FFFFFF"/>
        <w:sz w:val="26"/>
      </w:rPr>
      <w:tblPr/>
      <w:tcPr>
        <w:shd w:val="clear" w:color="auto" w:fill="3494BA"/>
      </w:tcPr>
    </w:tblStylePr>
    <w:tblStylePr w:type="lastRow">
      <w:rPr>
        <w:rFonts w:ascii="Century Gothic" w:eastAsia="Times New Roman" w:hAnsi="Century Gothic" w:cs="Times New Roman"/>
        <w:i/>
        <w:iCs/>
        <w:sz w:val="26"/>
      </w:rPr>
      <w:tblPr/>
      <w:tcPr>
        <w:tcBorders>
          <w:top w:val="nil"/>
          <w:left w:val="nil"/>
          <w:bottom w:val="nil"/>
          <w:right w:val="nil"/>
          <w:insideH w:val="nil"/>
          <w:insideV w:val="nil"/>
          <w:tl2br w:val="nil"/>
          <w:tr2bl w:val="nil"/>
        </w:tcBorders>
        <w:shd w:val="clear" w:color="auto" w:fill="FFFFFF"/>
      </w:tcPr>
    </w:tblStylePr>
    <w:tblStylePr w:type="firstCol">
      <w:pPr>
        <w:jc w:val="right"/>
      </w:pPr>
      <w:rPr>
        <w:rFonts w:ascii="Century Gothic" w:eastAsia="Times New Roman" w:hAnsi="Century Gothic" w:cs="Times New Roman"/>
        <w:i/>
        <w:iCs/>
        <w:sz w:val="26"/>
      </w:rPr>
      <w:tblPr/>
      <w:tcPr>
        <w:tcBorders>
          <w:right w:val="single" w:sz="4" w:space="0" w:color="7F7F7F"/>
        </w:tcBorders>
        <w:shd w:val="clear" w:color="auto" w:fill="FFFFFF"/>
      </w:tcPr>
    </w:tblStylePr>
    <w:tblStylePr w:type="lastCol">
      <w:rPr>
        <w:rFonts w:ascii="Century Gothic" w:eastAsia="Times New Roman" w:hAnsi="Century Gothic"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2Vert">
      <w:pPr>
        <w:jc w:val="right"/>
      </w:pPr>
    </w:tblStylePr>
    <w:tblStylePr w:type="band1Horz">
      <w:rPr>
        <w:color w:val="auto"/>
      </w:rPr>
      <w:tblPr/>
      <w:tcPr>
        <w:shd w:val="clear" w:color="auto" w:fill="F2F2F2"/>
      </w:tcPr>
    </w:tblStylePr>
    <w:tblStylePr w:type="band2Horz">
      <w:pPr>
        <w:jc w:val="right"/>
      </w:pPr>
      <w:rPr>
        <w:color w:val="000000"/>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Zagodisnji12">
    <w:name w:val="Tabela Za godisnji12"/>
    <w:basedOn w:val="TableNormal"/>
    <w:uiPriority w:val="45"/>
    <w:rsid w:val="007123F1"/>
    <w:pPr>
      <w:spacing w:after="0" w:line="240" w:lineRule="auto"/>
      <w:jc w:val="right"/>
    </w:pPr>
    <w:rPr>
      <w:rFonts w:eastAsia="Times New Roman"/>
    </w:rPr>
    <w:tblPr>
      <w:tblStyleRowBandSize w:val="1"/>
      <w:tblStyleColBandSize w:val="1"/>
    </w:tblPr>
    <w:tcPr>
      <w:vAlign w:val="center"/>
    </w:tcPr>
    <w:tblStylePr w:type="firstRow">
      <w:pPr>
        <w:jc w:val="right"/>
      </w:pPr>
      <w:rPr>
        <w:rFonts w:ascii="Century Gothic" w:eastAsia="Times New Roman" w:hAnsi="Century Gothic" w:cs="Times New Roman"/>
        <w:b/>
        <w:i/>
        <w:iCs/>
        <w:color w:val="FFFFFF"/>
        <w:sz w:val="26"/>
      </w:rPr>
      <w:tblPr/>
      <w:tcPr>
        <w:shd w:val="clear" w:color="auto" w:fill="3494BA"/>
      </w:tcPr>
    </w:tblStylePr>
    <w:tblStylePr w:type="lastRow">
      <w:rPr>
        <w:rFonts w:ascii="Century Gothic" w:eastAsia="Times New Roman" w:hAnsi="Century Gothic" w:cs="Times New Roman"/>
        <w:i/>
        <w:iCs/>
        <w:sz w:val="26"/>
      </w:rPr>
      <w:tblPr/>
      <w:tcPr>
        <w:tcBorders>
          <w:top w:val="nil"/>
          <w:left w:val="nil"/>
          <w:bottom w:val="nil"/>
          <w:right w:val="nil"/>
          <w:insideH w:val="nil"/>
          <w:insideV w:val="nil"/>
          <w:tl2br w:val="nil"/>
          <w:tr2bl w:val="nil"/>
        </w:tcBorders>
        <w:shd w:val="clear" w:color="auto" w:fill="FFFFFF"/>
      </w:tcPr>
    </w:tblStylePr>
    <w:tblStylePr w:type="firstCol">
      <w:pPr>
        <w:jc w:val="right"/>
      </w:pPr>
      <w:rPr>
        <w:rFonts w:ascii="Century Gothic" w:eastAsia="Times New Roman" w:hAnsi="Century Gothic" w:cs="Times New Roman"/>
        <w:i/>
        <w:iCs/>
        <w:sz w:val="26"/>
      </w:rPr>
      <w:tblPr/>
      <w:tcPr>
        <w:tcBorders>
          <w:right w:val="single" w:sz="4" w:space="0" w:color="7F7F7F"/>
        </w:tcBorders>
        <w:shd w:val="clear" w:color="auto" w:fill="FFFFFF"/>
      </w:tcPr>
    </w:tblStylePr>
    <w:tblStylePr w:type="lastCol">
      <w:rPr>
        <w:rFonts w:ascii="Century Gothic" w:eastAsia="Times New Roman" w:hAnsi="Century Gothic"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2Vert">
      <w:pPr>
        <w:jc w:val="right"/>
      </w:pPr>
    </w:tblStylePr>
    <w:tblStylePr w:type="band1Horz">
      <w:rPr>
        <w:color w:val="auto"/>
      </w:rPr>
      <w:tblPr/>
      <w:tcPr>
        <w:shd w:val="clear" w:color="auto" w:fill="F2F2F2"/>
      </w:tcPr>
    </w:tblStylePr>
    <w:tblStylePr w:type="band2Horz">
      <w:pPr>
        <w:jc w:val="right"/>
      </w:pPr>
      <w:rPr>
        <w:color w:val="000000"/>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ps">
    <w:name w:val="hps"/>
    <w:basedOn w:val="DefaultParagraphFont"/>
    <w:rsid w:val="007123F1"/>
  </w:style>
  <w:style w:type="paragraph" w:styleId="BodyTextIndent">
    <w:name w:val="Body Text Indent"/>
    <w:basedOn w:val="Normal"/>
    <w:link w:val="BodyTextIndentChar"/>
    <w:rsid w:val="007123F1"/>
    <w:pPr>
      <w:spacing w:after="120" w:line="240" w:lineRule="auto"/>
      <w:ind w:left="283"/>
      <w:jc w:val="left"/>
    </w:pPr>
    <w:rPr>
      <w:rFonts w:ascii="Times New Roman" w:eastAsia="Times New Roman" w:hAnsi="Times New Roman" w:cs="Times New Roman"/>
      <w:noProof w:val="0"/>
      <w:sz w:val="24"/>
      <w:szCs w:val="24"/>
      <w:lang w:val="hr-HR" w:eastAsia="hr-HR"/>
    </w:rPr>
  </w:style>
  <w:style w:type="character" w:customStyle="1" w:styleId="BodyTextIndentChar">
    <w:name w:val="Body Text Indent Char"/>
    <w:basedOn w:val="DefaultParagraphFont"/>
    <w:link w:val="BodyTextIndent"/>
    <w:rsid w:val="007123F1"/>
    <w:rPr>
      <w:rFonts w:ascii="Times New Roman" w:eastAsia="Times New Roman" w:hAnsi="Times New Roman" w:cs="Times New Roman"/>
      <w:sz w:val="24"/>
      <w:szCs w:val="24"/>
      <w:lang w:val="hr-HR" w:eastAsia="hr-HR"/>
    </w:rPr>
  </w:style>
  <w:style w:type="table" w:styleId="GridTable1Light-Accent3">
    <w:name w:val="Grid Table 1 Light Accent 3"/>
    <w:basedOn w:val="TableNormal"/>
    <w:uiPriority w:val="46"/>
    <w:rsid w:val="007123F1"/>
    <w:pPr>
      <w:spacing w:after="0" w:line="240" w:lineRule="auto"/>
    </w:pPr>
    <w:rPr>
      <w:rFonts w:eastAsiaTheme="minorHAnsi"/>
      <w:sz w:val="22"/>
      <w:szCs w:val="22"/>
      <w:lang w:eastAsia="en-US"/>
    </w:rPr>
    <w:tblPr>
      <w:tblStyleRowBandSize w:val="1"/>
      <w:tblStyleColBandSize w:val="1"/>
      <w:tblBorders>
        <w:top w:val="single" w:sz="4" w:space="0" w:color="C7E4DB" w:themeColor="accent3" w:themeTint="66"/>
        <w:left w:val="single" w:sz="4" w:space="0" w:color="C7E4DB" w:themeColor="accent3" w:themeTint="66"/>
        <w:bottom w:val="single" w:sz="4" w:space="0" w:color="C7E4DB" w:themeColor="accent3" w:themeTint="66"/>
        <w:right w:val="single" w:sz="4" w:space="0" w:color="C7E4DB" w:themeColor="accent3" w:themeTint="66"/>
        <w:insideH w:val="single" w:sz="4" w:space="0" w:color="C7E4DB" w:themeColor="accent3" w:themeTint="66"/>
        <w:insideV w:val="single" w:sz="4" w:space="0" w:color="C7E4DB" w:themeColor="accent3" w:themeTint="66"/>
      </w:tblBorders>
    </w:tblPr>
    <w:tblStylePr w:type="firstRow">
      <w:rPr>
        <w:b/>
        <w:bCs/>
      </w:rPr>
      <w:tblPr/>
      <w:tcPr>
        <w:tcBorders>
          <w:bottom w:val="single" w:sz="12" w:space="0" w:color="ACD7CA" w:themeColor="accent3" w:themeTint="99"/>
        </w:tcBorders>
      </w:tcPr>
    </w:tblStylePr>
    <w:tblStylePr w:type="lastRow">
      <w:rPr>
        <w:b/>
        <w:bCs/>
      </w:rPr>
      <w:tblPr/>
      <w:tcPr>
        <w:tcBorders>
          <w:top w:val="double" w:sz="2" w:space="0" w:color="ACD7CA" w:themeColor="accent3" w:themeTint="99"/>
        </w:tcBorders>
      </w:tcPr>
    </w:tblStylePr>
    <w:tblStylePr w:type="firstCol">
      <w:rPr>
        <w:b/>
        <w:bCs/>
      </w:rPr>
    </w:tblStylePr>
    <w:tblStylePr w:type="lastCol">
      <w:rPr>
        <w:b/>
        <w:bCs/>
      </w:rPr>
    </w:tblStylePr>
  </w:style>
  <w:style w:type="paragraph" w:customStyle="1" w:styleId="DecimalAligned">
    <w:name w:val="Decimal Aligned"/>
    <w:basedOn w:val="Normal"/>
    <w:uiPriority w:val="40"/>
    <w:qFormat/>
    <w:rsid w:val="000A5270"/>
    <w:pPr>
      <w:tabs>
        <w:tab w:val="decimal" w:pos="360"/>
      </w:tabs>
      <w:spacing w:after="200" w:line="276" w:lineRule="auto"/>
      <w:jc w:val="left"/>
    </w:pPr>
    <w:rPr>
      <w:rFonts w:ascii="Calibri" w:eastAsia="Times New Roman" w:hAnsi="Calibri" w:cs="Times New Roman"/>
      <w:noProof w:val="0"/>
      <w:sz w:val="22"/>
      <w:szCs w:val="22"/>
      <w:lang w:eastAsia="en-US"/>
    </w:rPr>
  </w:style>
  <w:style w:type="paragraph" w:styleId="FootnoteText">
    <w:name w:val="footnote text"/>
    <w:basedOn w:val="Normal"/>
    <w:link w:val="FootnoteTextChar"/>
    <w:uiPriority w:val="99"/>
    <w:unhideWhenUsed/>
    <w:rsid w:val="000A5270"/>
    <w:pPr>
      <w:spacing w:after="0" w:line="240" w:lineRule="auto"/>
      <w:jc w:val="left"/>
    </w:pPr>
    <w:rPr>
      <w:rFonts w:ascii="Calibri" w:eastAsia="Times New Roman" w:hAnsi="Calibri" w:cs="Times New Roman"/>
      <w:noProof w:val="0"/>
      <w:szCs w:val="20"/>
    </w:rPr>
  </w:style>
  <w:style w:type="character" w:customStyle="1" w:styleId="FootnoteTextChar">
    <w:name w:val="Footnote Text Char"/>
    <w:basedOn w:val="DefaultParagraphFont"/>
    <w:link w:val="FootnoteText"/>
    <w:uiPriority w:val="99"/>
    <w:rsid w:val="000A5270"/>
    <w:rPr>
      <w:rFonts w:ascii="Calibri" w:eastAsia="Times New Roman" w:hAnsi="Calibri" w:cs="Times New Roman"/>
      <w:sz w:val="20"/>
      <w:szCs w:val="20"/>
    </w:rPr>
  </w:style>
  <w:style w:type="table" w:styleId="MediumShading2-Accent5">
    <w:name w:val="Medium Shading 2 Accent 5"/>
    <w:basedOn w:val="TableNormal"/>
    <w:uiPriority w:val="64"/>
    <w:rsid w:val="000A5270"/>
    <w:pPr>
      <w:spacing w:after="0" w:line="240" w:lineRule="auto"/>
    </w:pPr>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GridTable1Light-Accent21">
    <w:name w:val="Grid Table 1 Light - Accent 21"/>
    <w:basedOn w:val="TableNormal"/>
    <w:uiPriority w:val="46"/>
    <w:rsid w:val="000A5270"/>
    <w:pPr>
      <w:spacing w:after="0" w:line="240" w:lineRule="auto"/>
    </w:pPr>
    <w:rPr>
      <w:rFonts w:ascii="Calibri" w:eastAsia="Calibri" w:hAnsi="Calibri" w:cs="Times New Roman"/>
      <w:sz w:val="20"/>
      <w:szCs w:val="20"/>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ListTable2-Accent11">
    <w:name w:val="List Table 2 - Accent 11"/>
    <w:basedOn w:val="TableNormal"/>
    <w:uiPriority w:val="47"/>
    <w:rsid w:val="000A5270"/>
    <w:pPr>
      <w:spacing w:after="0" w:line="240" w:lineRule="auto"/>
    </w:pPr>
    <w:rPr>
      <w:rFonts w:ascii="Calibri" w:eastAsia="Calibri" w:hAnsi="Calibri" w:cs="Times New Roman"/>
      <w:sz w:val="20"/>
      <w:szCs w:val="20"/>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4-Accent11">
    <w:name w:val="List Table 4 - Accent 11"/>
    <w:basedOn w:val="TableNormal"/>
    <w:uiPriority w:val="49"/>
    <w:rsid w:val="000A5270"/>
    <w:pPr>
      <w:spacing w:after="0" w:line="240" w:lineRule="auto"/>
    </w:pPr>
    <w:rPr>
      <w:rFonts w:ascii="Calibri" w:eastAsia="Calibri" w:hAnsi="Calibri" w:cs="Times New Roman"/>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MediumShading1-Accent6">
    <w:name w:val="Medium Shading 1 Accent 6"/>
    <w:basedOn w:val="TableNormal"/>
    <w:uiPriority w:val="63"/>
    <w:rsid w:val="000A5270"/>
    <w:pPr>
      <w:spacing w:after="0" w:line="240" w:lineRule="auto"/>
    </w:pPr>
    <w:rPr>
      <w:rFonts w:ascii="Calibri" w:eastAsia="Calibri" w:hAnsi="Calibri" w:cs="Times New Roman"/>
      <w:sz w:val="20"/>
      <w:szCs w:val="20"/>
    </w:r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tblBorders>
    </w:tblPr>
    <w:tblStylePr w:type="firstRow">
      <w:pPr>
        <w:spacing w:before="0" w:after="0" w:line="240" w:lineRule="auto"/>
      </w:pPr>
      <w:rPr>
        <w:b/>
        <w:bCs/>
        <w:color w:val="FFFFFF"/>
      </w:rPr>
      <w:tblPr/>
      <w:tcPr>
        <w:tcBorders>
          <w:top w:val="single" w:sz="8" w:space="0" w:color="93C571"/>
          <w:left w:val="single" w:sz="8" w:space="0" w:color="93C571"/>
          <w:bottom w:val="single" w:sz="8" w:space="0" w:color="93C571"/>
          <w:right w:val="single" w:sz="8" w:space="0" w:color="93C571"/>
          <w:insideH w:val="nil"/>
          <w:insideV w:val="nil"/>
        </w:tcBorders>
        <w:shd w:val="clear" w:color="auto" w:fill="70AD47"/>
      </w:tcPr>
    </w:tblStylePr>
    <w:tblStylePr w:type="lastRow">
      <w:pPr>
        <w:spacing w:before="0" w:after="0" w:line="240" w:lineRule="auto"/>
      </w:pPr>
      <w:rPr>
        <w:b/>
        <w:bCs/>
      </w:rPr>
      <w:tblPr/>
      <w:tcPr>
        <w:tcBorders>
          <w:top w:val="double" w:sz="6" w:space="0" w:color="93C571"/>
          <w:left w:val="single" w:sz="8" w:space="0" w:color="93C571"/>
          <w:bottom w:val="single" w:sz="8" w:space="0" w:color="93C571"/>
          <w:right w:val="single" w:sz="8" w:space="0" w:color="93C571"/>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customStyle="1" w:styleId="MediumShading1-Accent11">
    <w:name w:val="Medium Shading 1 - Accent 11"/>
    <w:basedOn w:val="TableNormal"/>
    <w:uiPriority w:val="63"/>
    <w:rsid w:val="000A5270"/>
    <w:pPr>
      <w:spacing w:after="0" w:line="240" w:lineRule="auto"/>
    </w:pPr>
    <w:rPr>
      <w:rFonts w:ascii="Calibri" w:eastAsia="Calibri" w:hAnsi="Calibri" w:cs="Times New Roman"/>
      <w:sz w:val="20"/>
      <w:szCs w:val="20"/>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LightShading-Accent11">
    <w:name w:val="Light Shading - Accent 11"/>
    <w:basedOn w:val="TableNormal"/>
    <w:uiPriority w:val="60"/>
    <w:rsid w:val="000A5270"/>
    <w:pPr>
      <w:spacing w:after="0" w:line="240" w:lineRule="auto"/>
    </w:pPr>
    <w:rPr>
      <w:rFonts w:ascii="Calibri" w:eastAsia="Calibri" w:hAnsi="Calibri" w:cs="Times New Roman"/>
      <w:color w:val="2E74B5"/>
      <w:sz w:val="20"/>
      <w:szCs w:val="20"/>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ListTable7Colorful1">
    <w:name w:val="List Table 7 Colorful1"/>
    <w:basedOn w:val="TableNormal"/>
    <w:uiPriority w:val="52"/>
    <w:rsid w:val="000A5270"/>
    <w:pPr>
      <w:spacing w:after="0" w:line="240" w:lineRule="auto"/>
    </w:pPr>
    <w:rPr>
      <w:rFonts w:ascii="Calibri" w:eastAsia="Calibri" w:hAnsi="Calibri" w:cs="Times New Roman"/>
      <w:color w:val="000000" w:themeColor="text1"/>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ocumentMap">
    <w:name w:val="Document Map"/>
    <w:basedOn w:val="Normal"/>
    <w:link w:val="DocumentMapChar"/>
    <w:uiPriority w:val="99"/>
    <w:semiHidden/>
    <w:unhideWhenUsed/>
    <w:rsid w:val="000A527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A5270"/>
    <w:rPr>
      <w:rFonts w:ascii="Tahoma" w:hAnsi="Tahoma" w:cs="Tahoma"/>
      <w:noProof/>
      <w:sz w:val="16"/>
      <w:szCs w:val="16"/>
    </w:rPr>
  </w:style>
  <w:style w:type="paragraph" w:customStyle="1" w:styleId="Default">
    <w:name w:val="Default"/>
    <w:rsid w:val="00643D59"/>
    <w:pPr>
      <w:autoSpaceDE w:val="0"/>
      <w:autoSpaceDN w:val="0"/>
      <w:adjustRightInd w:val="0"/>
      <w:spacing w:after="0" w:line="240" w:lineRule="auto"/>
    </w:pPr>
    <w:rPr>
      <w:rFonts w:ascii="Arial" w:hAnsi="Arial" w:cs="Arial"/>
      <w:color w:val="000000"/>
      <w:sz w:val="24"/>
      <w:szCs w:val="24"/>
    </w:rPr>
  </w:style>
  <w:style w:type="table" w:customStyle="1" w:styleId="ListTable21">
    <w:name w:val="List Table 21"/>
    <w:basedOn w:val="TableNormal"/>
    <w:uiPriority w:val="47"/>
    <w:rsid w:val="00015B9F"/>
    <w:pPr>
      <w:spacing w:after="0" w:line="240" w:lineRule="auto"/>
    </w:pPr>
    <w:rPr>
      <w:rFonts w:ascii="Calibri" w:eastAsia="Calibri" w:hAnsi="Calibri" w:cs="Times New Roman"/>
      <w:sz w:val="20"/>
      <w:szCs w:val="20"/>
      <w:lang w:val="sr-Latn-CS" w:eastAsia="sr-Latn-C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95089">
      <w:bodyDiv w:val="1"/>
      <w:marLeft w:val="0"/>
      <w:marRight w:val="0"/>
      <w:marTop w:val="0"/>
      <w:marBottom w:val="0"/>
      <w:divBdr>
        <w:top w:val="none" w:sz="0" w:space="0" w:color="auto"/>
        <w:left w:val="none" w:sz="0" w:space="0" w:color="auto"/>
        <w:bottom w:val="none" w:sz="0" w:space="0" w:color="auto"/>
        <w:right w:val="none" w:sz="0" w:space="0" w:color="auto"/>
      </w:divBdr>
    </w:div>
    <w:div w:id="112482620">
      <w:bodyDiv w:val="1"/>
      <w:marLeft w:val="0"/>
      <w:marRight w:val="0"/>
      <w:marTop w:val="0"/>
      <w:marBottom w:val="0"/>
      <w:divBdr>
        <w:top w:val="none" w:sz="0" w:space="0" w:color="auto"/>
        <w:left w:val="none" w:sz="0" w:space="0" w:color="auto"/>
        <w:bottom w:val="none" w:sz="0" w:space="0" w:color="auto"/>
        <w:right w:val="none" w:sz="0" w:space="0" w:color="auto"/>
      </w:divBdr>
    </w:div>
    <w:div w:id="285548739">
      <w:bodyDiv w:val="1"/>
      <w:marLeft w:val="0"/>
      <w:marRight w:val="0"/>
      <w:marTop w:val="0"/>
      <w:marBottom w:val="0"/>
      <w:divBdr>
        <w:top w:val="none" w:sz="0" w:space="0" w:color="auto"/>
        <w:left w:val="none" w:sz="0" w:space="0" w:color="auto"/>
        <w:bottom w:val="none" w:sz="0" w:space="0" w:color="auto"/>
        <w:right w:val="none" w:sz="0" w:space="0" w:color="auto"/>
      </w:divBdr>
    </w:div>
    <w:div w:id="313722498">
      <w:bodyDiv w:val="1"/>
      <w:marLeft w:val="0"/>
      <w:marRight w:val="0"/>
      <w:marTop w:val="0"/>
      <w:marBottom w:val="0"/>
      <w:divBdr>
        <w:top w:val="none" w:sz="0" w:space="0" w:color="auto"/>
        <w:left w:val="none" w:sz="0" w:space="0" w:color="auto"/>
        <w:bottom w:val="none" w:sz="0" w:space="0" w:color="auto"/>
        <w:right w:val="none" w:sz="0" w:space="0" w:color="auto"/>
      </w:divBdr>
    </w:div>
    <w:div w:id="390272807">
      <w:bodyDiv w:val="1"/>
      <w:marLeft w:val="0"/>
      <w:marRight w:val="0"/>
      <w:marTop w:val="0"/>
      <w:marBottom w:val="0"/>
      <w:divBdr>
        <w:top w:val="none" w:sz="0" w:space="0" w:color="auto"/>
        <w:left w:val="none" w:sz="0" w:space="0" w:color="auto"/>
        <w:bottom w:val="none" w:sz="0" w:space="0" w:color="auto"/>
        <w:right w:val="none" w:sz="0" w:space="0" w:color="auto"/>
      </w:divBdr>
    </w:div>
    <w:div w:id="489054485">
      <w:bodyDiv w:val="1"/>
      <w:marLeft w:val="0"/>
      <w:marRight w:val="0"/>
      <w:marTop w:val="0"/>
      <w:marBottom w:val="0"/>
      <w:divBdr>
        <w:top w:val="none" w:sz="0" w:space="0" w:color="auto"/>
        <w:left w:val="none" w:sz="0" w:space="0" w:color="auto"/>
        <w:bottom w:val="none" w:sz="0" w:space="0" w:color="auto"/>
        <w:right w:val="none" w:sz="0" w:space="0" w:color="auto"/>
      </w:divBdr>
    </w:div>
    <w:div w:id="542912635">
      <w:bodyDiv w:val="1"/>
      <w:marLeft w:val="0"/>
      <w:marRight w:val="0"/>
      <w:marTop w:val="0"/>
      <w:marBottom w:val="0"/>
      <w:divBdr>
        <w:top w:val="none" w:sz="0" w:space="0" w:color="auto"/>
        <w:left w:val="none" w:sz="0" w:space="0" w:color="auto"/>
        <w:bottom w:val="none" w:sz="0" w:space="0" w:color="auto"/>
        <w:right w:val="none" w:sz="0" w:space="0" w:color="auto"/>
      </w:divBdr>
    </w:div>
    <w:div w:id="700515037">
      <w:bodyDiv w:val="1"/>
      <w:marLeft w:val="0"/>
      <w:marRight w:val="0"/>
      <w:marTop w:val="0"/>
      <w:marBottom w:val="0"/>
      <w:divBdr>
        <w:top w:val="none" w:sz="0" w:space="0" w:color="auto"/>
        <w:left w:val="none" w:sz="0" w:space="0" w:color="auto"/>
        <w:bottom w:val="none" w:sz="0" w:space="0" w:color="auto"/>
        <w:right w:val="none" w:sz="0" w:space="0" w:color="auto"/>
      </w:divBdr>
    </w:div>
    <w:div w:id="743842585">
      <w:bodyDiv w:val="1"/>
      <w:marLeft w:val="0"/>
      <w:marRight w:val="0"/>
      <w:marTop w:val="0"/>
      <w:marBottom w:val="0"/>
      <w:divBdr>
        <w:top w:val="none" w:sz="0" w:space="0" w:color="auto"/>
        <w:left w:val="none" w:sz="0" w:space="0" w:color="auto"/>
        <w:bottom w:val="none" w:sz="0" w:space="0" w:color="auto"/>
        <w:right w:val="none" w:sz="0" w:space="0" w:color="auto"/>
      </w:divBdr>
    </w:div>
    <w:div w:id="1170490118">
      <w:bodyDiv w:val="1"/>
      <w:marLeft w:val="0"/>
      <w:marRight w:val="0"/>
      <w:marTop w:val="0"/>
      <w:marBottom w:val="0"/>
      <w:divBdr>
        <w:top w:val="none" w:sz="0" w:space="0" w:color="auto"/>
        <w:left w:val="none" w:sz="0" w:space="0" w:color="auto"/>
        <w:bottom w:val="none" w:sz="0" w:space="0" w:color="auto"/>
        <w:right w:val="none" w:sz="0" w:space="0" w:color="auto"/>
      </w:divBdr>
    </w:div>
    <w:div w:id="1678653313">
      <w:bodyDiv w:val="1"/>
      <w:marLeft w:val="0"/>
      <w:marRight w:val="0"/>
      <w:marTop w:val="0"/>
      <w:marBottom w:val="0"/>
      <w:divBdr>
        <w:top w:val="none" w:sz="0" w:space="0" w:color="auto"/>
        <w:left w:val="none" w:sz="0" w:space="0" w:color="auto"/>
        <w:bottom w:val="none" w:sz="0" w:space="0" w:color="auto"/>
        <w:right w:val="none" w:sz="0" w:space="0" w:color="auto"/>
      </w:divBdr>
    </w:div>
    <w:div w:id="1798914046">
      <w:bodyDiv w:val="1"/>
      <w:marLeft w:val="0"/>
      <w:marRight w:val="0"/>
      <w:marTop w:val="0"/>
      <w:marBottom w:val="0"/>
      <w:divBdr>
        <w:top w:val="none" w:sz="0" w:space="0" w:color="auto"/>
        <w:left w:val="none" w:sz="0" w:space="0" w:color="auto"/>
        <w:bottom w:val="none" w:sz="0" w:space="0" w:color="auto"/>
        <w:right w:val="none" w:sz="0" w:space="0" w:color="auto"/>
      </w:divBdr>
    </w:div>
    <w:div w:id="1963488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ip\AppData\Roaming\Microsoft\Templates\Ion%20design%20(blank).dotx"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E:\IMUNIZACIJA%20godi&#353;nji%20izve&#353;taji\Izv%202018\grip%202-6%20sezons.xls" TargetMode="Externa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E:\!%20IZJZV\Izve&#353;taji\GODI&#352;NJI\2018\grafikoni%20za%20vakcinabilne%20do%202017-za%20Josipa.xlsx"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file:///E:\!%20IZJZV\Izve&#353;taji\GODI&#352;NJI\2018\grafikoni%20za%20vakcinabilne%20do%202017-za%20Josipa.xlsx"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oleObject" Target="file:///E:\!%20IZJZV\Izve&#353;taji\GODI&#352;NJI\2018\Data_2017.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406786472265131"/>
          <c:y val="2.1100199552478813E-2"/>
          <c:w val="0.80153830053539954"/>
          <c:h val="0.67189509167567829"/>
        </c:manualLayout>
      </c:layout>
      <c:lineChart>
        <c:grouping val="standard"/>
        <c:varyColors val="0"/>
        <c:ser>
          <c:idx val="0"/>
          <c:order val="0"/>
          <c:tx>
            <c:strRef>
              <c:f>подаци!$A$3</c:f>
              <c:strCache>
                <c:ptCount val="1"/>
                <c:pt idx="0">
                  <c:v>2009/10</c:v>
                </c:pt>
              </c:strCache>
            </c:strRef>
          </c:tx>
          <c:spPr>
            <a:ln w="12700"/>
          </c:spPr>
          <c:marker>
            <c:symbol val="none"/>
          </c:marker>
          <c:cat>
            <c:numRef>
              <c:f>подаци!$B$2:$AH$2</c:f>
              <c:numCache>
                <c:formatCode>General</c:formatCode>
                <c:ptCount val="33"/>
                <c:pt idx="0">
                  <c:v>40</c:v>
                </c:pt>
                <c:pt idx="1">
                  <c:v>41</c:v>
                </c:pt>
                <c:pt idx="2">
                  <c:v>42</c:v>
                </c:pt>
                <c:pt idx="3">
                  <c:v>43</c:v>
                </c:pt>
                <c:pt idx="4">
                  <c:v>44</c:v>
                </c:pt>
                <c:pt idx="5">
                  <c:v>45</c:v>
                </c:pt>
                <c:pt idx="6">
                  <c:v>46</c:v>
                </c:pt>
                <c:pt idx="7">
                  <c:v>47</c:v>
                </c:pt>
                <c:pt idx="8">
                  <c:v>48</c:v>
                </c:pt>
                <c:pt idx="9">
                  <c:v>49</c:v>
                </c:pt>
                <c:pt idx="10">
                  <c:v>50</c:v>
                </c:pt>
                <c:pt idx="11">
                  <c:v>51</c:v>
                </c:pt>
                <c:pt idx="12">
                  <c:v>52</c:v>
                </c:pt>
                <c:pt idx="13">
                  <c:v>1</c:v>
                </c:pt>
                <c:pt idx="14">
                  <c:v>2</c:v>
                </c:pt>
                <c:pt idx="15">
                  <c:v>3</c:v>
                </c:pt>
                <c:pt idx="16">
                  <c:v>4</c:v>
                </c:pt>
                <c:pt idx="17">
                  <c:v>5</c:v>
                </c:pt>
                <c:pt idx="18">
                  <c:v>6</c:v>
                </c:pt>
                <c:pt idx="19">
                  <c:v>7</c:v>
                </c:pt>
                <c:pt idx="20">
                  <c:v>8</c:v>
                </c:pt>
                <c:pt idx="21">
                  <c:v>9</c:v>
                </c:pt>
                <c:pt idx="22">
                  <c:v>10</c:v>
                </c:pt>
                <c:pt idx="23">
                  <c:v>11</c:v>
                </c:pt>
                <c:pt idx="24">
                  <c:v>12</c:v>
                </c:pt>
                <c:pt idx="25">
                  <c:v>13</c:v>
                </c:pt>
                <c:pt idx="26">
                  <c:v>14</c:v>
                </c:pt>
                <c:pt idx="27">
                  <c:v>15</c:v>
                </c:pt>
                <c:pt idx="28">
                  <c:v>16</c:v>
                </c:pt>
                <c:pt idx="29">
                  <c:v>17</c:v>
                </c:pt>
                <c:pt idx="30">
                  <c:v>18</c:v>
                </c:pt>
                <c:pt idx="31">
                  <c:v>19</c:v>
                </c:pt>
                <c:pt idx="32">
                  <c:v>20</c:v>
                </c:pt>
              </c:numCache>
            </c:numRef>
          </c:cat>
          <c:val>
            <c:numRef>
              <c:f>подаци!$B$3:$AH$3</c:f>
              <c:numCache>
                <c:formatCode>General</c:formatCode>
                <c:ptCount val="33"/>
                <c:pt idx="0">
                  <c:v>110.4</c:v>
                </c:pt>
                <c:pt idx="1">
                  <c:v>109.1</c:v>
                </c:pt>
                <c:pt idx="2">
                  <c:v>109.9</c:v>
                </c:pt>
                <c:pt idx="3">
                  <c:v>120.8</c:v>
                </c:pt>
                <c:pt idx="4">
                  <c:v>224.3</c:v>
                </c:pt>
                <c:pt idx="5">
                  <c:v>575.5</c:v>
                </c:pt>
                <c:pt idx="6">
                  <c:v>734.6</c:v>
                </c:pt>
                <c:pt idx="7">
                  <c:v>423.5</c:v>
                </c:pt>
                <c:pt idx="8">
                  <c:v>424.1</c:v>
                </c:pt>
                <c:pt idx="9">
                  <c:v>748.1</c:v>
                </c:pt>
                <c:pt idx="10" formatCode="0.0">
                  <c:v>1090.2991333519708</c:v>
                </c:pt>
                <c:pt idx="11" formatCode="0.0">
                  <c:v>911.70370682303894</c:v>
                </c:pt>
                <c:pt idx="12" formatCode="0.0">
                  <c:v>592.09223295910783</c:v>
                </c:pt>
                <c:pt idx="13" formatCode="0.0">
                  <c:v>218.60849003992988</c:v>
                </c:pt>
                <c:pt idx="14" formatCode="0.0">
                  <c:v>149.50980392156788</c:v>
                </c:pt>
                <c:pt idx="15" formatCode="0.0">
                  <c:v>161.63136977050559</c:v>
                </c:pt>
                <c:pt idx="16" formatCode="0.0">
                  <c:v>110.10840569839378</c:v>
                </c:pt>
                <c:pt idx="17" formatCode="0.0">
                  <c:v>100.78523883886525</c:v>
                </c:pt>
                <c:pt idx="18" formatCode="0.0">
                  <c:v>82.920480309009989</c:v>
                </c:pt>
                <c:pt idx="19" formatCode="0.0">
                  <c:v>67.965303136771269</c:v>
                </c:pt>
                <c:pt idx="20" formatCode="0.0">
                  <c:v>61.6060127468442</c:v>
                </c:pt>
                <c:pt idx="21" formatCode="0.0">
                  <c:v>55.004895435693612</c:v>
                </c:pt>
                <c:pt idx="22" formatCode="0.0">
                  <c:v>48.381421534130894</c:v>
                </c:pt>
                <c:pt idx="23" formatCode="0.0">
                  <c:v>61.073203605424986</c:v>
                </c:pt>
                <c:pt idx="24" formatCode="0.0">
                  <c:v>47.254918807457685</c:v>
                </c:pt>
                <c:pt idx="25" formatCode="0.0">
                  <c:v>36.496350364963511</c:v>
                </c:pt>
                <c:pt idx="26" formatCode="0.0">
                  <c:v>13.890669743984272</c:v>
                </c:pt>
                <c:pt idx="27" formatCode="0.0">
                  <c:v>13.581266905847867</c:v>
                </c:pt>
                <c:pt idx="28" formatCode="0.0">
                  <c:v>10.716620406588568</c:v>
                </c:pt>
                <c:pt idx="29" formatCode="0.0">
                  <c:v>10.214852395382881</c:v>
                </c:pt>
                <c:pt idx="30" formatCode="0.0">
                  <c:v>6.4591138095853253</c:v>
                </c:pt>
                <c:pt idx="31" formatCode="0.0">
                  <c:v>15.57110003832887</c:v>
                </c:pt>
                <c:pt idx="32" formatCode="0.0">
                  <c:v>21.501523024547573</c:v>
                </c:pt>
              </c:numCache>
            </c:numRef>
          </c:val>
          <c:smooth val="0"/>
          <c:extLst xmlns:c16r2="http://schemas.microsoft.com/office/drawing/2015/06/chart">
            <c:ext xmlns:c16="http://schemas.microsoft.com/office/drawing/2014/chart" uri="{C3380CC4-5D6E-409C-BE32-E72D297353CC}">
              <c16:uniqueId val="{00000000-4C89-47B0-A811-9DB6B3DF17DD}"/>
            </c:ext>
          </c:extLst>
        </c:ser>
        <c:ser>
          <c:idx val="1"/>
          <c:order val="1"/>
          <c:tx>
            <c:strRef>
              <c:f>подаци!$A$4</c:f>
              <c:strCache>
                <c:ptCount val="1"/>
                <c:pt idx="0">
                  <c:v>2010/11</c:v>
                </c:pt>
              </c:strCache>
            </c:strRef>
          </c:tx>
          <c:spPr>
            <a:ln w="12700">
              <a:solidFill>
                <a:schemeClr val="bg1">
                  <a:lumMod val="75000"/>
                </a:schemeClr>
              </a:solidFill>
            </a:ln>
          </c:spPr>
          <c:marker>
            <c:symbol val="none"/>
          </c:marker>
          <c:cat>
            <c:numRef>
              <c:f>подаци!$B$2:$AH$2</c:f>
              <c:numCache>
                <c:formatCode>General</c:formatCode>
                <c:ptCount val="33"/>
                <c:pt idx="0">
                  <c:v>40</c:v>
                </c:pt>
                <c:pt idx="1">
                  <c:v>41</c:v>
                </c:pt>
                <c:pt idx="2">
                  <c:v>42</c:v>
                </c:pt>
                <c:pt idx="3">
                  <c:v>43</c:v>
                </c:pt>
                <c:pt idx="4">
                  <c:v>44</c:v>
                </c:pt>
                <c:pt idx="5">
                  <c:v>45</c:v>
                </c:pt>
                <c:pt idx="6">
                  <c:v>46</c:v>
                </c:pt>
                <c:pt idx="7">
                  <c:v>47</c:v>
                </c:pt>
                <c:pt idx="8">
                  <c:v>48</c:v>
                </c:pt>
                <c:pt idx="9">
                  <c:v>49</c:v>
                </c:pt>
                <c:pt idx="10">
                  <c:v>50</c:v>
                </c:pt>
                <c:pt idx="11">
                  <c:v>51</c:v>
                </c:pt>
                <c:pt idx="12">
                  <c:v>52</c:v>
                </c:pt>
                <c:pt idx="13">
                  <c:v>1</c:v>
                </c:pt>
                <c:pt idx="14">
                  <c:v>2</c:v>
                </c:pt>
                <c:pt idx="15">
                  <c:v>3</c:v>
                </c:pt>
                <c:pt idx="16">
                  <c:v>4</c:v>
                </c:pt>
                <c:pt idx="17">
                  <c:v>5</c:v>
                </c:pt>
                <c:pt idx="18">
                  <c:v>6</c:v>
                </c:pt>
                <c:pt idx="19">
                  <c:v>7</c:v>
                </c:pt>
                <c:pt idx="20">
                  <c:v>8</c:v>
                </c:pt>
                <c:pt idx="21">
                  <c:v>9</c:v>
                </c:pt>
                <c:pt idx="22">
                  <c:v>10</c:v>
                </c:pt>
                <c:pt idx="23">
                  <c:v>11</c:v>
                </c:pt>
                <c:pt idx="24">
                  <c:v>12</c:v>
                </c:pt>
                <c:pt idx="25">
                  <c:v>13</c:v>
                </c:pt>
                <c:pt idx="26">
                  <c:v>14</c:v>
                </c:pt>
                <c:pt idx="27">
                  <c:v>15</c:v>
                </c:pt>
                <c:pt idx="28">
                  <c:v>16</c:v>
                </c:pt>
                <c:pt idx="29">
                  <c:v>17</c:v>
                </c:pt>
                <c:pt idx="30">
                  <c:v>18</c:v>
                </c:pt>
                <c:pt idx="31">
                  <c:v>19</c:v>
                </c:pt>
                <c:pt idx="32">
                  <c:v>20</c:v>
                </c:pt>
              </c:numCache>
            </c:numRef>
          </c:cat>
          <c:val>
            <c:numRef>
              <c:f>подаци!$B$4:$AH$4</c:f>
              <c:numCache>
                <c:formatCode>0.0</c:formatCode>
                <c:ptCount val="33"/>
                <c:pt idx="0">
                  <c:v>8.2575019405129559</c:v>
                </c:pt>
                <c:pt idx="1">
                  <c:v>27.580728793177578</c:v>
                </c:pt>
                <c:pt idx="2">
                  <c:v>33.721836997070419</c:v>
                </c:pt>
                <c:pt idx="3">
                  <c:v>42.953076383141394</c:v>
                </c:pt>
                <c:pt idx="4">
                  <c:v>42.918915439006859</c:v>
                </c:pt>
                <c:pt idx="5">
                  <c:v>27.207182696231786</c:v>
                </c:pt>
                <c:pt idx="6">
                  <c:v>21.845551947729529</c:v>
                </c:pt>
                <c:pt idx="7">
                  <c:v>31.757688834195086</c:v>
                </c:pt>
                <c:pt idx="8">
                  <c:v>34.736628810174118</c:v>
                </c:pt>
                <c:pt idx="9">
                  <c:v>39.111075454290024</c:v>
                </c:pt>
                <c:pt idx="10">
                  <c:v>21.282255919127426</c:v>
                </c:pt>
                <c:pt idx="11">
                  <c:v>48.275492141822667</c:v>
                </c:pt>
                <c:pt idx="12">
                  <c:v>48.073071068023395</c:v>
                </c:pt>
                <c:pt idx="13">
                  <c:v>61.57835034840403</c:v>
                </c:pt>
                <c:pt idx="14">
                  <c:v>40.207470548027914</c:v>
                </c:pt>
                <c:pt idx="15">
                  <c:v>113.47246966997571</c:v>
                </c:pt>
                <c:pt idx="16">
                  <c:v>256.00427701924701</c:v>
                </c:pt>
                <c:pt idx="17">
                  <c:v>361.31619343991815</c:v>
                </c:pt>
                <c:pt idx="18">
                  <c:v>496.31913943660408</c:v>
                </c:pt>
                <c:pt idx="19">
                  <c:v>404.52670375660324</c:v>
                </c:pt>
                <c:pt idx="20">
                  <c:v>474.45442875481388</c:v>
                </c:pt>
                <c:pt idx="21">
                  <c:v>346.33650635641459</c:v>
                </c:pt>
                <c:pt idx="22">
                  <c:v>290.38491669713267</c:v>
                </c:pt>
                <c:pt idx="23">
                  <c:v>244.2298182405361</c:v>
                </c:pt>
                <c:pt idx="24">
                  <c:v>166.81088858075211</c:v>
                </c:pt>
                <c:pt idx="25">
                  <c:v>66.804324061703085</c:v>
                </c:pt>
                <c:pt idx="26">
                  <c:v>77.959912192519639</c:v>
                </c:pt>
                <c:pt idx="27">
                  <c:v>56.168852211108572</c:v>
                </c:pt>
                <c:pt idx="28">
                  <c:v>37.45488388985985</c:v>
                </c:pt>
                <c:pt idx="29">
                  <c:v>20.650615874249887</c:v>
                </c:pt>
                <c:pt idx="30">
                  <c:v>17.048429717848492</c:v>
                </c:pt>
                <c:pt idx="31">
                  <c:v>28.326271436496093</c:v>
                </c:pt>
                <c:pt idx="32">
                  <c:v>21.941220624747334</c:v>
                </c:pt>
              </c:numCache>
            </c:numRef>
          </c:val>
          <c:smooth val="0"/>
          <c:extLst xmlns:c16r2="http://schemas.microsoft.com/office/drawing/2015/06/chart">
            <c:ext xmlns:c16="http://schemas.microsoft.com/office/drawing/2014/chart" uri="{C3380CC4-5D6E-409C-BE32-E72D297353CC}">
              <c16:uniqueId val="{00000001-4C89-47B0-A811-9DB6B3DF17DD}"/>
            </c:ext>
          </c:extLst>
        </c:ser>
        <c:ser>
          <c:idx val="2"/>
          <c:order val="2"/>
          <c:tx>
            <c:strRef>
              <c:f>подаци!$A$5</c:f>
              <c:strCache>
                <c:ptCount val="1"/>
                <c:pt idx="0">
                  <c:v>2011/12</c:v>
                </c:pt>
              </c:strCache>
            </c:strRef>
          </c:tx>
          <c:spPr>
            <a:ln w="12700">
              <a:solidFill>
                <a:schemeClr val="bg1">
                  <a:lumMod val="50000"/>
                </a:schemeClr>
              </a:solidFill>
            </a:ln>
          </c:spPr>
          <c:marker>
            <c:symbol val="none"/>
          </c:marker>
          <c:cat>
            <c:numRef>
              <c:f>подаци!$B$2:$AH$2</c:f>
              <c:numCache>
                <c:formatCode>General</c:formatCode>
                <c:ptCount val="33"/>
                <c:pt idx="0">
                  <c:v>40</c:v>
                </c:pt>
                <c:pt idx="1">
                  <c:v>41</c:v>
                </c:pt>
                <c:pt idx="2">
                  <c:v>42</c:v>
                </c:pt>
                <c:pt idx="3">
                  <c:v>43</c:v>
                </c:pt>
                <c:pt idx="4">
                  <c:v>44</c:v>
                </c:pt>
                <c:pt idx="5">
                  <c:v>45</c:v>
                </c:pt>
                <c:pt idx="6">
                  <c:v>46</c:v>
                </c:pt>
                <c:pt idx="7">
                  <c:v>47</c:v>
                </c:pt>
                <c:pt idx="8">
                  <c:v>48</c:v>
                </c:pt>
                <c:pt idx="9">
                  <c:v>49</c:v>
                </c:pt>
                <c:pt idx="10">
                  <c:v>50</c:v>
                </c:pt>
                <c:pt idx="11">
                  <c:v>51</c:v>
                </c:pt>
                <c:pt idx="12">
                  <c:v>52</c:v>
                </c:pt>
                <c:pt idx="13">
                  <c:v>1</c:v>
                </c:pt>
                <c:pt idx="14">
                  <c:v>2</c:v>
                </c:pt>
                <c:pt idx="15">
                  <c:v>3</c:v>
                </c:pt>
                <c:pt idx="16">
                  <c:v>4</c:v>
                </c:pt>
                <c:pt idx="17">
                  <c:v>5</c:v>
                </c:pt>
                <c:pt idx="18">
                  <c:v>6</c:v>
                </c:pt>
                <c:pt idx="19">
                  <c:v>7</c:v>
                </c:pt>
                <c:pt idx="20">
                  <c:v>8</c:v>
                </c:pt>
                <c:pt idx="21">
                  <c:v>9</c:v>
                </c:pt>
                <c:pt idx="22">
                  <c:v>10</c:v>
                </c:pt>
                <c:pt idx="23">
                  <c:v>11</c:v>
                </c:pt>
                <c:pt idx="24">
                  <c:v>12</c:v>
                </c:pt>
                <c:pt idx="25">
                  <c:v>13</c:v>
                </c:pt>
                <c:pt idx="26">
                  <c:v>14</c:v>
                </c:pt>
                <c:pt idx="27">
                  <c:v>15</c:v>
                </c:pt>
                <c:pt idx="28">
                  <c:v>16</c:v>
                </c:pt>
                <c:pt idx="29">
                  <c:v>17</c:v>
                </c:pt>
                <c:pt idx="30">
                  <c:v>18</c:v>
                </c:pt>
                <c:pt idx="31">
                  <c:v>19</c:v>
                </c:pt>
                <c:pt idx="32">
                  <c:v>20</c:v>
                </c:pt>
              </c:numCache>
            </c:numRef>
          </c:cat>
          <c:val>
            <c:numRef>
              <c:f>подаци!$B$5:$AH$5</c:f>
              <c:numCache>
                <c:formatCode>0.0</c:formatCode>
                <c:ptCount val="33"/>
                <c:pt idx="0">
                  <c:v>7.9938181139918534</c:v>
                </c:pt>
                <c:pt idx="1">
                  <c:v>47.100980808659202</c:v>
                </c:pt>
                <c:pt idx="2">
                  <c:v>44.589630003004956</c:v>
                </c:pt>
                <c:pt idx="3">
                  <c:v>38.696904247660186</c:v>
                </c:pt>
                <c:pt idx="4">
                  <c:v>46.300745179917705</c:v>
                </c:pt>
                <c:pt idx="5">
                  <c:v>63.157145652831396</c:v>
                </c:pt>
                <c:pt idx="6">
                  <c:v>51.003060183610913</c:v>
                </c:pt>
                <c:pt idx="7" formatCode="#,##0.0">
                  <c:v>55.344650161277627</c:v>
                </c:pt>
                <c:pt idx="8">
                  <c:v>82.648987989519398</c:v>
                </c:pt>
                <c:pt idx="9">
                  <c:v>69.907135706148395</c:v>
                </c:pt>
                <c:pt idx="10">
                  <c:v>82.123792690982242</c:v>
                </c:pt>
                <c:pt idx="11">
                  <c:v>97.8</c:v>
                </c:pt>
                <c:pt idx="12">
                  <c:v>91.2</c:v>
                </c:pt>
                <c:pt idx="13">
                  <c:v>43.7</c:v>
                </c:pt>
                <c:pt idx="14">
                  <c:v>89.6</c:v>
                </c:pt>
                <c:pt idx="15">
                  <c:v>63.5</c:v>
                </c:pt>
                <c:pt idx="16">
                  <c:v>68.5</c:v>
                </c:pt>
                <c:pt idx="17">
                  <c:v>101.7</c:v>
                </c:pt>
                <c:pt idx="18">
                  <c:v>86.2</c:v>
                </c:pt>
                <c:pt idx="19">
                  <c:v>41.5</c:v>
                </c:pt>
                <c:pt idx="20">
                  <c:v>43.9</c:v>
                </c:pt>
                <c:pt idx="21">
                  <c:v>56.6</c:v>
                </c:pt>
                <c:pt idx="22">
                  <c:v>125.8</c:v>
                </c:pt>
                <c:pt idx="23">
                  <c:v>334</c:v>
                </c:pt>
                <c:pt idx="24">
                  <c:v>347</c:v>
                </c:pt>
                <c:pt idx="25">
                  <c:v>269.39999999999969</c:v>
                </c:pt>
                <c:pt idx="26">
                  <c:v>197.8</c:v>
                </c:pt>
                <c:pt idx="27">
                  <c:v>116.3</c:v>
                </c:pt>
                <c:pt idx="28">
                  <c:v>59.1</c:v>
                </c:pt>
                <c:pt idx="29">
                  <c:v>18</c:v>
                </c:pt>
                <c:pt idx="30">
                  <c:v>12.9</c:v>
                </c:pt>
                <c:pt idx="31">
                  <c:v>14.6</c:v>
                </c:pt>
                <c:pt idx="32">
                  <c:v>13.6</c:v>
                </c:pt>
              </c:numCache>
            </c:numRef>
          </c:val>
          <c:smooth val="0"/>
          <c:extLst xmlns:c16r2="http://schemas.microsoft.com/office/drawing/2015/06/chart">
            <c:ext xmlns:c16="http://schemas.microsoft.com/office/drawing/2014/chart" uri="{C3380CC4-5D6E-409C-BE32-E72D297353CC}">
              <c16:uniqueId val="{00000002-4C89-47B0-A811-9DB6B3DF17DD}"/>
            </c:ext>
          </c:extLst>
        </c:ser>
        <c:ser>
          <c:idx val="3"/>
          <c:order val="3"/>
          <c:tx>
            <c:strRef>
              <c:f>подаци!$A$6</c:f>
              <c:strCache>
                <c:ptCount val="1"/>
                <c:pt idx="0">
                  <c:v>2012/13</c:v>
                </c:pt>
              </c:strCache>
            </c:strRef>
          </c:tx>
          <c:spPr>
            <a:ln w="12700">
              <a:solidFill>
                <a:schemeClr val="bg2">
                  <a:lumMod val="50000"/>
                </a:schemeClr>
              </a:solidFill>
            </a:ln>
          </c:spPr>
          <c:marker>
            <c:symbol val="none"/>
          </c:marker>
          <c:cat>
            <c:numRef>
              <c:f>подаци!$B$2:$AH$2</c:f>
              <c:numCache>
                <c:formatCode>General</c:formatCode>
                <c:ptCount val="33"/>
                <c:pt idx="0">
                  <c:v>40</c:v>
                </c:pt>
                <c:pt idx="1">
                  <c:v>41</c:v>
                </c:pt>
                <c:pt idx="2">
                  <c:v>42</c:v>
                </c:pt>
                <c:pt idx="3">
                  <c:v>43</c:v>
                </c:pt>
                <c:pt idx="4">
                  <c:v>44</c:v>
                </c:pt>
                <c:pt idx="5">
                  <c:v>45</c:v>
                </c:pt>
                <c:pt idx="6">
                  <c:v>46</c:v>
                </c:pt>
                <c:pt idx="7">
                  <c:v>47</c:v>
                </c:pt>
                <c:pt idx="8">
                  <c:v>48</c:v>
                </c:pt>
                <c:pt idx="9">
                  <c:v>49</c:v>
                </c:pt>
                <c:pt idx="10">
                  <c:v>50</c:v>
                </c:pt>
                <c:pt idx="11">
                  <c:v>51</c:v>
                </c:pt>
                <c:pt idx="12">
                  <c:v>52</c:v>
                </c:pt>
                <c:pt idx="13">
                  <c:v>1</c:v>
                </c:pt>
                <c:pt idx="14">
                  <c:v>2</c:v>
                </c:pt>
                <c:pt idx="15">
                  <c:v>3</c:v>
                </c:pt>
                <c:pt idx="16">
                  <c:v>4</c:v>
                </c:pt>
                <c:pt idx="17">
                  <c:v>5</c:v>
                </c:pt>
                <c:pt idx="18">
                  <c:v>6</c:v>
                </c:pt>
                <c:pt idx="19">
                  <c:v>7</c:v>
                </c:pt>
                <c:pt idx="20">
                  <c:v>8</c:v>
                </c:pt>
                <c:pt idx="21">
                  <c:v>9</c:v>
                </c:pt>
                <c:pt idx="22">
                  <c:v>10</c:v>
                </c:pt>
                <c:pt idx="23">
                  <c:v>11</c:v>
                </c:pt>
                <c:pt idx="24">
                  <c:v>12</c:v>
                </c:pt>
                <c:pt idx="25">
                  <c:v>13</c:v>
                </c:pt>
                <c:pt idx="26">
                  <c:v>14</c:v>
                </c:pt>
                <c:pt idx="27">
                  <c:v>15</c:v>
                </c:pt>
                <c:pt idx="28">
                  <c:v>16</c:v>
                </c:pt>
                <c:pt idx="29">
                  <c:v>17</c:v>
                </c:pt>
                <c:pt idx="30">
                  <c:v>18</c:v>
                </c:pt>
                <c:pt idx="31">
                  <c:v>19</c:v>
                </c:pt>
                <c:pt idx="32">
                  <c:v>20</c:v>
                </c:pt>
              </c:numCache>
            </c:numRef>
          </c:cat>
          <c:val>
            <c:numRef>
              <c:f>подаци!$B$6:$AH$6</c:f>
              <c:numCache>
                <c:formatCode>0.0</c:formatCode>
                <c:ptCount val="33"/>
                <c:pt idx="0">
                  <c:v>20.100000000000001</c:v>
                </c:pt>
                <c:pt idx="1">
                  <c:v>21.330000000000005</c:v>
                </c:pt>
                <c:pt idx="2" formatCode="#,##0.00">
                  <c:v>25.57</c:v>
                </c:pt>
                <c:pt idx="3" formatCode="General">
                  <c:v>33.9</c:v>
                </c:pt>
                <c:pt idx="4" formatCode="#,##0.00">
                  <c:v>23.52</c:v>
                </c:pt>
                <c:pt idx="5" formatCode="#,##0.00">
                  <c:v>24.810000000000031</c:v>
                </c:pt>
                <c:pt idx="6" formatCode="#,##0.0">
                  <c:v>47.760000000000012</c:v>
                </c:pt>
                <c:pt idx="7" formatCode="#,##0.0">
                  <c:v>40.200000000000003</c:v>
                </c:pt>
                <c:pt idx="8" formatCode="#,##0.0">
                  <c:v>39.590000000000003</c:v>
                </c:pt>
                <c:pt idx="9" formatCode="#,##0.0">
                  <c:v>52.1</c:v>
                </c:pt>
                <c:pt idx="10" formatCode="#,##0.0">
                  <c:v>54.97</c:v>
                </c:pt>
                <c:pt idx="11" formatCode="#,##0.0">
                  <c:v>60.04</c:v>
                </c:pt>
                <c:pt idx="12" formatCode="#,##0.0">
                  <c:v>53.94</c:v>
                </c:pt>
                <c:pt idx="13" formatCode="#,##0.0">
                  <c:v>42.59</c:v>
                </c:pt>
                <c:pt idx="14" formatCode="#,##0.0">
                  <c:v>88.4</c:v>
                </c:pt>
                <c:pt idx="15" formatCode="#,##0.0">
                  <c:v>70.73</c:v>
                </c:pt>
                <c:pt idx="16" formatCode="#,##0.0">
                  <c:v>83.59</c:v>
                </c:pt>
                <c:pt idx="17" formatCode="#,##0.0">
                  <c:v>213.33</c:v>
                </c:pt>
                <c:pt idx="18" formatCode="#,##0.0">
                  <c:v>297.58999999999969</c:v>
                </c:pt>
                <c:pt idx="19" formatCode="#,##0.0">
                  <c:v>474.77</c:v>
                </c:pt>
                <c:pt idx="20" formatCode="#,##0.0">
                  <c:v>519.24</c:v>
                </c:pt>
                <c:pt idx="21" formatCode="#,##0.0">
                  <c:v>712.3</c:v>
                </c:pt>
                <c:pt idx="22" formatCode="#,##0.0">
                  <c:v>503.82</c:v>
                </c:pt>
                <c:pt idx="23" formatCode="#,##0.0">
                  <c:v>400.61</c:v>
                </c:pt>
                <c:pt idx="24" formatCode="#,##0.0">
                  <c:v>219.07</c:v>
                </c:pt>
                <c:pt idx="25" formatCode="#,##0.0">
                  <c:v>140.44999999999999</c:v>
                </c:pt>
                <c:pt idx="26" formatCode="#,##0.0">
                  <c:v>100.23</c:v>
                </c:pt>
                <c:pt idx="27" formatCode="#,##0.0">
                  <c:v>47.41</c:v>
                </c:pt>
                <c:pt idx="28" formatCode="#,##0.0">
                  <c:v>40.290000000000013</c:v>
                </c:pt>
                <c:pt idx="29" formatCode="#,##0.0">
                  <c:v>15.1</c:v>
                </c:pt>
                <c:pt idx="30" formatCode="#,##0.0">
                  <c:v>9.06</c:v>
                </c:pt>
                <c:pt idx="31" formatCode="#,##0.0">
                  <c:v>6.78</c:v>
                </c:pt>
                <c:pt idx="32" formatCode="#,##0.0">
                  <c:v>0.99</c:v>
                </c:pt>
              </c:numCache>
            </c:numRef>
          </c:val>
          <c:smooth val="0"/>
          <c:extLst xmlns:c16r2="http://schemas.microsoft.com/office/drawing/2015/06/chart">
            <c:ext xmlns:c16="http://schemas.microsoft.com/office/drawing/2014/chart" uri="{C3380CC4-5D6E-409C-BE32-E72D297353CC}">
              <c16:uniqueId val="{00000003-4C89-47B0-A811-9DB6B3DF17DD}"/>
            </c:ext>
          </c:extLst>
        </c:ser>
        <c:ser>
          <c:idx val="4"/>
          <c:order val="4"/>
          <c:tx>
            <c:strRef>
              <c:f>подаци!$A$7</c:f>
              <c:strCache>
                <c:ptCount val="1"/>
                <c:pt idx="0">
                  <c:v>2013/14</c:v>
                </c:pt>
              </c:strCache>
            </c:strRef>
          </c:tx>
          <c:spPr>
            <a:ln w="12700">
              <a:solidFill>
                <a:srgbClr val="92D050"/>
              </a:solidFill>
            </a:ln>
          </c:spPr>
          <c:marker>
            <c:symbol val="none"/>
          </c:marker>
          <c:cat>
            <c:numRef>
              <c:f>подаци!$B$2:$AH$2</c:f>
              <c:numCache>
                <c:formatCode>General</c:formatCode>
                <c:ptCount val="33"/>
                <c:pt idx="0">
                  <c:v>40</c:v>
                </c:pt>
                <c:pt idx="1">
                  <c:v>41</c:v>
                </c:pt>
                <c:pt idx="2">
                  <c:v>42</c:v>
                </c:pt>
                <c:pt idx="3">
                  <c:v>43</c:v>
                </c:pt>
                <c:pt idx="4">
                  <c:v>44</c:v>
                </c:pt>
                <c:pt idx="5">
                  <c:v>45</c:v>
                </c:pt>
                <c:pt idx="6">
                  <c:v>46</c:v>
                </c:pt>
                <c:pt idx="7">
                  <c:v>47</c:v>
                </c:pt>
                <c:pt idx="8">
                  <c:v>48</c:v>
                </c:pt>
                <c:pt idx="9">
                  <c:v>49</c:v>
                </c:pt>
                <c:pt idx="10">
                  <c:v>50</c:v>
                </c:pt>
                <c:pt idx="11">
                  <c:v>51</c:v>
                </c:pt>
                <c:pt idx="12">
                  <c:v>52</c:v>
                </c:pt>
                <c:pt idx="13">
                  <c:v>1</c:v>
                </c:pt>
                <c:pt idx="14">
                  <c:v>2</c:v>
                </c:pt>
                <c:pt idx="15">
                  <c:v>3</c:v>
                </c:pt>
                <c:pt idx="16">
                  <c:v>4</c:v>
                </c:pt>
                <c:pt idx="17">
                  <c:v>5</c:v>
                </c:pt>
                <c:pt idx="18">
                  <c:v>6</c:v>
                </c:pt>
                <c:pt idx="19">
                  <c:v>7</c:v>
                </c:pt>
                <c:pt idx="20">
                  <c:v>8</c:v>
                </c:pt>
                <c:pt idx="21">
                  <c:v>9</c:v>
                </c:pt>
                <c:pt idx="22">
                  <c:v>10</c:v>
                </c:pt>
                <c:pt idx="23">
                  <c:v>11</c:v>
                </c:pt>
                <c:pt idx="24">
                  <c:v>12</c:v>
                </c:pt>
                <c:pt idx="25">
                  <c:v>13</c:v>
                </c:pt>
                <c:pt idx="26">
                  <c:v>14</c:v>
                </c:pt>
                <c:pt idx="27">
                  <c:v>15</c:v>
                </c:pt>
                <c:pt idx="28">
                  <c:v>16</c:v>
                </c:pt>
                <c:pt idx="29">
                  <c:v>17</c:v>
                </c:pt>
                <c:pt idx="30">
                  <c:v>18</c:v>
                </c:pt>
                <c:pt idx="31">
                  <c:v>19</c:v>
                </c:pt>
                <c:pt idx="32">
                  <c:v>20</c:v>
                </c:pt>
              </c:numCache>
            </c:numRef>
          </c:cat>
          <c:val>
            <c:numRef>
              <c:f>подаци!$B$7:$AH$7</c:f>
              <c:numCache>
                <c:formatCode>General</c:formatCode>
                <c:ptCount val="33"/>
                <c:pt idx="0">
                  <c:v>70.760000000000005</c:v>
                </c:pt>
                <c:pt idx="1">
                  <c:v>62.790000000000013</c:v>
                </c:pt>
                <c:pt idx="2">
                  <c:v>46.77</c:v>
                </c:pt>
                <c:pt idx="3">
                  <c:v>41.56</c:v>
                </c:pt>
                <c:pt idx="4">
                  <c:v>38.89</c:v>
                </c:pt>
                <c:pt idx="5">
                  <c:v>23.7</c:v>
                </c:pt>
                <c:pt idx="6">
                  <c:v>29.09</c:v>
                </c:pt>
                <c:pt idx="7">
                  <c:v>30.259999999999987</c:v>
                </c:pt>
                <c:pt idx="8">
                  <c:v>56.98</c:v>
                </c:pt>
                <c:pt idx="9">
                  <c:v>33.700000000000003</c:v>
                </c:pt>
                <c:pt idx="10">
                  <c:v>40.690000000000012</c:v>
                </c:pt>
                <c:pt idx="11">
                  <c:v>30.77</c:v>
                </c:pt>
                <c:pt idx="12">
                  <c:v>25.1</c:v>
                </c:pt>
                <c:pt idx="13">
                  <c:v>19.47</c:v>
                </c:pt>
                <c:pt idx="14">
                  <c:v>21.16</c:v>
                </c:pt>
                <c:pt idx="15">
                  <c:v>23.830000000000005</c:v>
                </c:pt>
                <c:pt idx="16">
                  <c:v>50.39</c:v>
                </c:pt>
                <c:pt idx="17">
                  <c:v>77.55</c:v>
                </c:pt>
                <c:pt idx="18">
                  <c:v>102.14</c:v>
                </c:pt>
                <c:pt idx="19">
                  <c:v>239.62</c:v>
                </c:pt>
                <c:pt idx="20">
                  <c:v>147.69</c:v>
                </c:pt>
                <c:pt idx="21">
                  <c:v>146.84</c:v>
                </c:pt>
                <c:pt idx="22">
                  <c:v>132.29</c:v>
                </c:pt>
                <c:pt idx="23">
                  <c:v>143.30000000000001</c:v>
                </c:pt>
                <c:pt idx="24">
                  <c:v>192.88000000000036</c:v>
                </c:pt>
                <c:pt idx="25">
                  <c:v>146.39000000000001</c:v>
                </c:pt>
                <c:pt idx="26">
                  <c:v>141.15</c:v>
                </c:pt>
                <c:pt idx="27">
                  <c:v>64.569999999999993</c:v>
                </c:pt>
                <c:pt idx="28">
                  <c:v>29.59</c:v>
                </c:pt>
                <c:pt idx="29">
                  <c:v>24.1</c:v>
                </c:pt>
                <c:pt idx="30">
                  <c:v>8.4</c:v>
                </c:pt>
                <c:pt idx="31">
                  <c:v>32.980000000000004</c:v>
                </c:pt>
                <c:pt idx="32">
                  <c:v>25</c:v>
                </c:pt>
              </c:numCache>
            </c:numRef>
          </c:val>
          <c:smooth val="0"/>
          <c:extLst xmlns:c16r2="http://schemas.microsoft.com/office/drawing/2015/06/chart">
            <c:ext xmlns:c16="http://schemas.microsoft.com/office/drawing/2014/chart" uri="{C3380CC4-5D6E-409C-BE32-E72D297353CC}">
              <c16:uniqueId val="{00000004-4C89-47B0-A811-9DB6B3DF17DD}"/>
            </c:ext>
          </c:extLst>
        </c:ser>
        <c:ser>
          <c:idx val="5"/>
          <c:order val="5"/>
          <c:tx>
            <c:strRef>
              <c:f>подаци!$A$8</c:f>
              <c:strCache>
                <c:ptCount val="1"/>
                <c:pt idx="0">
                  <c:v>2014/15</c:v>
                </c:pt>
              </c:strCache>
            </c:strRef>
          </c:tx>
          <c:marker>
            <c:symbol val="none"/>
          </c:marker>
          <c:cat>
            <c:numRef>
              <c:f>подаци!$B$2:$AH$2</c:f>
              <c:numCache>
                <c:formatCode>General</c:formatCode>
                <c:ptCount val="33"/>
                <c:pt idx="0">
                  <c:v>40</c:v>
                </c:pt>
                <c:pt idx="1">
                  <c:v>41</c:v>
                </c:pt>
                <c:pt idx="2">
                  <c:v>42</c:v>
                </c:pt>
                <c:pt idx="3">
                  <c:v>43</c:v>
                </c:pt>
                <c:pt idx="4">
                  <c:v>44</c:v>
                </c:pt>
                <c:pt idx="5">
                  <c:v>45</c:v>
                </c:pt>
                <c:pt idx="6">
                  <c:v>46</c:v>
                </c:pt>
                <c:pt idx="7">
                  <c:v>47</c:v>
                </c:pt>
                <c:pt idx="8">
                  <c:v>48</c:v>
                </c:pt>
                <c:pt idx="9">
                  <c:v>49</c:v>
                </c:pt>
                <c:pt idx="10">
                  <c:v>50</c:v>
                </c:pt>
                <c:pt idx="11">
                  <c:v>51</c:v>
                </c:pt>
                <c:pt idx="12">
                  <c:v>52</c:v>
                </c:pt>
                <c:pt idx="13">
                  <c:v>1</c:v>
                </c:pt>
                <c:pt idx="14">
                  <c:v>2</c:v>
                </c:pt>
                <c:pt idx="15">
                  <c:v>3</c:v>
                </c:pt>
                <c:pt idx="16">
                  <c:v>4</c:v>
                </c:pt>
                <c:pt idx="17">
                  <c:v>5</c:v>
                </c:pt>
                <c:pt idx="18">
                  <c:v>6</c:v>
                </c:pt>
                <c:pt idx="19">
                  <c:v>7</c:v>
                </c:pt>
                <c:pt idx="20">
                  <c:v>8</c:v>
                </c:pt>
                <c:pt idx="21">
                  <c:v>9</c:v>
                </c:pt>
                <c:pt idx="22">
                  <c:v>10</c:v>
                </c:pt>
                <c:pt idx="23">
                  <c:v>11</c:v>
                </c:pt>
                <c:pt idx="24">
                  <c:v>12</c:v>
                </c:pt>
                <c:pt idx="25">
                  <c:v>13</c:v>
                </c:pt>
                <c:pt idx="26">
                  <c:v>14</c:v>
                </c:pt>
                <c:pt idx="27">
                  <c:v>15</c:v>
                </c:pt>
                <c:pt idx="28">
                  <c:v>16</c:v>
                </c:pt>
                <c:pt idx="29">
                  <c:v>17</c:v>
                </c:pt>
                <c:pt idx="30">
                  <c:v>18</c:v>
                </c:pt>
                <c:pt idx="31">
                  <c:v>19</c:v>
                </c:pt>
                <c:pt idx="32">
                  <c:v>20</c:v>
                </c:pt>
              </c:numCache>
            </c:numRef>
          </c:cat>
          <c:val>
            <c:numRef>
              <c:f>подаци!$B$8:$AH$8</c:f>
              <c:numCache>
                <c:formatCode>0.00</c:formatCode>
                <c:ptCount val="33"/>
                <c:pt idx="0">
                  <c:v>11.9</c:v>
                </c:pt>
                <c:pt idx="1">
                  <c:v>34.230000000000011</c:v>
                </c:pt>
                <c:pt idx="2">
                  <c:v>27.479999999999986</c:v>
                </c:pt>
                <c:pt idx="3">
                  <c:v>28.310000000000031</c:v>
                </c:pt>
                <c:pt idx="4">
                  <c:v>39.07</c:v>
                </c:pt>
                <c:pt idx="5">
                  <c:v>21.43</c:v>
                </c:pt>
                <c:pt idx="6">
                  <c:v>19.829999999999988</c:v>
                </c:pt>
                <c:pt idx="7">
                  <c:v>27.3</c:v>
                </c:pt>
                <c:pt idx="8">
                  <c:v>34.11</c:v>
                </c:pt>
                <c:pt idx="9">
                  <c:v>32.290000000000013</c:v>
                </c:pt>
                <c:pt idx="10">
                  <c:v>45.94</c:v>
                </c:pt>
                <c:pt idx="11">
                  <c:v>74.64</c:v>
                </c:pt>
                <c:pt idx="12">
                  <c:v>45.77</c:v>
                </c:pt>
                <c:pt idx="13">
                  <c:v>12.28</c:v>
                </c:pt>
                <c:pt idx="14">
                  <c:v>88.25</c:v>
                </c:pt>
                <c:pt idx="15">
                  <c:v>52.05</c:v>
                </c:pt>
                <c:pt idx="16">
                  <c:v>85.82</c:v>
                </c:pt>
                <c:pt idx="17">
                  <c:v>174.15</c:v>
                </c:pt>
                <c:pt idx="18">
                  <c:v>261.8</c:v>
                </c:pt>
                <c:pt idx="19">
                  <c:v>359.12</c:v>
                </c:pt>
                <c:pt idx="20">
                  <c:v>284.22000000000003</c:v>
                </c:pt>
                <c:pt idx="21">
                  <c:v>321.83999999999969</c:v>
                </c:pt>
                <c:pt idx="22" formatCode="0.0">
                  <c:v>240.28</c:v>
                </c:pt>
                <c:pt idx="23" formatCode="0.0">
                  <c:v>252.2</c:v>
                </c:pt>
                <c:pt idx="24" formatCode="0.0">
                  <c:v>191.6</c:v>
                </c:pt>
                <c:pt idx="25" formatCode="0.0">
                  <c:v>126.7</c:v>
                </c:pt>
                <c:pt idx="26" formatCode="0.0">
                  <c:v>90.6</c:v>
                </c:pt>
                <c:pt idx="27" formatCode="0.0">
                  <c:v>57</c:v>
                </c:pt>
                <c:pt idx="28" formatCode="0.0">
                  <c:v>49</c:v>
                </c:pt>
                <c:pt idx="29" formatCode="0.0">
                  <c:v>24.8</c:v>
                </c:pt>
                <c:pt idx="30" formatCode="0.0">
                  <c:v>24.6</c:v>
                </c:pt>
                <c:pt idx="31" formatCode="0.0">
                  <c:v>27.1</c:v>
                </c:pt>
                <c:pt idx="32" formatCode="0.0">
                  <c:v>4</c:v>
                </c:pt>
              </c:numCache>
            </c:numRef>
          </c:val>
          <c:smooth val="0"/>
          <c:extLst xmlns:c16r2="http://schemas.microsoft.com/office/drawing/2015/06/chart">
            <c:ext xmlns:c16="http://schemas.microsoft.com/office/drawing/2014/chart" uri="{C3380CC4-5D6E-409C-BE32-E72D297353CC}">
              <c16:uniqueId val="{00000005-4C89-47B0-A811-9DB6B3DF17DD}"/>
            </c:ext>
          </c:extLst>
        </c:ser>
        <c:ser>
          <c:idx val="6"/>
          <c:order val="6"/>
          <c:tx>
            <c:strRef>
              <c:f>подаци!$A$9</c:f>
              <c:strCache>
                <c:ptCount val="1"/>
                <c:pt idx="0">
                  <c:v>2015/16</c:v>
                </c:pt>
              </c:strCache>
            </c:strRef>
          </c:tx>
          <c:marker>
            <c:symbol val="none"/>
          </c:marker>
          <c:cat>
            <c:numRef>
              <c:f>подаци!$B$2:$AH$2</c:f>
              <c:numCache>
                <c:formatCode>General</c:formatCode>
                <c:ptCount val="33"/>
                <c:pt idx="0">
                  <c:v>40</c:v>
                </c:pt>
                <c:pt idx="1">
                  <c:v>41</c:v>
                </c:pt>
                <c:pt idx="2">
                  <c:v>42</c:v>
                </c:pt>
                <c:pt idx="3">
                  <c:v>43</c:v>
                </c:pt>
                <c:pt idx="4">
                  <c:v>44</c:v>
                </c:pt>
                <c:pt idx="5">
                  <c:v>45</c:v>
                </c:pt>
                <c:pt idx="6">
                  <c:v>46</c:v>
                </c:pt>
                <c:pt idx="7">
                  <c:v>47</c:v>
                </c:pt>
                <c:pt idx="8">
                  <c:v>48</c:v>
                </c:pt>
                <c:pt idx="9">
                  <c:v>49</c:v>
                </c:pt>
                <c:pt idx="10">
                  <c:v>50</c:v>
                </c:pt>
                <c:pt idx="11">
                  <c:v>51</c:v>
                </c:pt>
                <c:pt idx="12">
                  <c:v>52</c:v>
                </c:pt>
                <c:pt idx="13">
                  <c:v>1</c:v>
                </c:pt>
                <c:pt idx="14">
                  <c:v>2</c:v>
                </c:pt>
                <c:pt idx="15">
                  <c:v>3</c:v>
                </c:pt>
                <c:pt idx="16">
                  <c:v>4</c:v>
                </c:pt>
                <c:pt idx="17">
                  <c:v>5</c:v>
                </c:pt>
                <c:pt idx="18">
                  <c:v>6</c:v>
                </c:pt>
                <c:pt idx="19">
                  <c:v>7</c:v>
                </c:pt>
                <c:pt idx="20">
                  <c:v>8</c:v>
                </c:pt>
                <c:pt idx="21">
                  <c:v>9</c:v>
                </c:pt>
                <c:pt idx="22">
                  <c:v>10</c:v>
                </c:pt>
                <c:pt idx="23">
                  <c:v>11</c:v>
                </c:pt>
                <c:pt idx="24">
                  <c:v>12</c:v>
                </c:pt>
                <c:pt idx="25">
                  <c:v>13</c:v>
                </c:pt>
                <c:pt idx="26">
                  <c:v>14</c:v>
                </c:pt>
                <c:pt idx="27">
                  <c:v>15</c:v>
                </c:pt>
                <c:pt idx="28">
                  <c:v>16</c:v>
                </c:pt>
                <c:pt idx="29">
                  <c:v>17</c:v>
                </c:pt>
                <c:pt idx="30">
                  <c:v>18</c:v>
                </c:pt>
                <c:pt idx="31">
                  <c:v>19</c:v>
                </c:pt>
                <c:pt idx="32">
                  <c:v>20</c:v>
                </c:pt>
              </c:numCache>
            </c:numRef>
          </c:cat>
          <c:val>
            <c:numRef>
              <c:f>подаци!$B$9:$AH$9</c:f>
              <c:numCache>
                <c:formatCode>0.0</c:formatCode>
                <c:ptCount val="33"/>
                <c:pt idx="0" formatCode="@">
                  <c:v>0</c:v>
                </c:pt>
                <c:pt idx="1">
                  <c:v>7.1</c:v>
                </c:pt>
                <c:pt idx="2" formatCode="@">
                  <c:v>0</c:v>
                </c:pt>
                <c:pt idx="3" formatCode="General">
                  <c:v>10.220000000000001</c:v>
                </c:pt>
                <c:pt idx="4" formatCode="General">
                  <c:v>16.399999999999999</c:v>
                </c:pt>
                <c:pt idx="5" formatCode="General">
                  <c:v>29.919999999999987</c:v>
                </c:pt>
                <c:pt idx="6" formatCode="General">
                  <c:v>26.82</c:v>
                </c:pt>
                <c:pt idx="7" formatCode="General">
                  <c:v>38.120000000000012</c:v>
                </c:pt>
                <c:pt idx="8" formatCode="General">
                  <c:v>25.07</c:v>
                </c:pt>
                <c:pt idx="9" formatCode="General">
                  <c:v>34.520000000000003</c:v>
                </c:pt>
                <c:pt idx="10" formatCode="General">
                  <c:v>28.75</c:v>
                </c:pt>
                <c:pt idx="11" formatCode="General">
                  <c:v>27.439999999999987</c:v>
                </c:pt>
                <c:pt idx="12" formatCode="General">
                  <c:v>29.810000000000031</c:v>
                </c:pt>
                <c:pt idx="13" formatCode="@">
                  <c:v>0</c:v>
                </c:pt>
                <c:pt idx="14" formatCode="General">
                  <c:v>39.56</c:v>
                </c:pt>
                <c:pt idx="15" formatCode="General">
                  <c:v>35.700000000000003</c:v>
                </c:pt>
                <c:pt idx="16" formatCode="General">
                  <c:v>33.6</c:v>
                </c:pt>
                <c:pt idx="17" formatCode="#,##0.0">
                  <c:v>85.79</c:v>
                </c:pt>
                <c:pt idx="18" formatCode="#,##0.0">
                  <c:v>124.16</c:v>
                </c:pt>
                <c:pt idx="19" formatCode="#,##0.0">
                  <c:v>184.7</c:v>
                </c:pt>
                <c:pt idx="20" formatCode="#,##0.0">
                  <c:v>257.36</c:v>
                </c:pt>
                <c:pt idx="21" formatCode="#,##0.0">
                  <c:v>207.92000000000004</c:v>
                </c:pt>
                <c:pt idx="22" formatCode="#,##0.0">
                  <c:v>262.37</c:v>
                </c:pt>
                <c:pt idx="23" formatCode="#,##0.0">
                  <c:v>264.18</c:v>
                </c:pt>
                <c:pt idx="24" formatCode="#,##0.0">
                  <c:v>302.02999999999969</c:v>
                </c:pt>
                <c:pt idx="25" formatCode="#,##0.0">
                  <c:v>290.62</c:v>
                </c:pt>
                <c:pt idx="26" formatCode="#,##0.0">
                  <c:v>241.91</c:v>
                </c:pt>
                <c:pt idx="27" formatCode="#,##0.0">
                  <c:v>160.41</c:v>
                </c:pt>
                <c:pt idx="28" formatCode="#,##0.0">
                  <c:v>78.61999999999999</c:v>
                </c:pt>
                <c:pt idx="29" formatCode="#,##0.0">
                  <c:v>68.69</c:v>
                </c:pt>
                <c:pt idx="30" formatCode="#,##0.0">
                  <c:v>22.150000000000031</c:v>
                </c:pt>
                <c:pt idx="31" formatCode="#,##0.0">
                  <c:v>15.48</c:v>
                </c:pt>
                <c:pt idx="32" formatCode="#,##0.0">
                  <c:v>9.25</c:v>
                </c:pt>
              </c:numCache>
            </c:numRef>
          </c:val>
          <c:smooth val="0"/>
          <c:extLst xmlns:c16r2="http://schemas.microsoft.com/office/drawing/2015/06/chart">
            <c:ext xmlns:c16="http://schemas.microsoft.com/office/drawing/2014/chart" uri="{C3380CC4-5D6E-409C-BE32-E72D297353CC}">
              <c16:uniqueId val="{00000006-4C89-47B0-A811-9DB6B3DF17DD}"/>
            </c:ext>
          </c:extLst>
        </c:ser>
        <c:ser>
          <c:idx val="7"/>
          <c:order val="7"/>
          <c:tx>
            <c:strRef>
              <c:f>подаци!$A$10</c:f>
              <c:strCache>
                <c:ptCount val="1"/>
                <c:pt idx="0">
                  <c:v>2016/17</c:v>
                </c:pt>
              </c:strCache>
            </c:strRef>
          </c:tx>
          <c:spPr>
            <a:ln w="38100">
              <a:solidFill>
                <a:schemeClr val="tx1"/>
              </a:solidFill>
            </a:ln>
          </c:spPr>
          <c:marker>
            <c:symbol val="none"/>
          </c:marker>
          <c:cat>
            <c:numRef>
              <c:f>подаци!$B$2:$AH$2</c:f>
              <c:numCache>
                <c:formatCode>General</c:formatCode>
                <c:ptCount val="33"/>
                <c:pt idx="0">
                  <c:v>40</c:v>
                </c:pt>
                <c:pt idx="1">
                  <c:v>41</c:v>
                </c:pt>
                <c:pt idx="2">
                  <c:v>42</c:v>
                </c:pt>
                <c:pt idx="3">
                  <c:v>43</c:v>
                </c:pt>
                <c:pt idx="4">
                  <c:v>44</c:v>
                </c:pt>
                <c:pt idx="5">
                  <c:v>45</c:v>
                </c:pt>
                <c:pt idx="6">
                  <c:v>46</c:v>
                </c:pt>
                <c:pt idx="7">
                  <c:v>47</c:v>
                </c:pt>
                <c:pt idx="8">
                  <c:v>48</c:v>
                </c:pt>
                <c:pt idx="9">
                  <c:v>49</c:v>
                </c:pt>
                <c:pt idx="10">
                  <c:v>50</c:v>
                </c:pt>
                <c:pt idx="11">
                  <c:v>51</c:v>
                </c:pt>
                <c:pt idx="12">
                  <c:v>52</c:v>
                </c:pt>
                <c:pt idx="13">
                  <c:v>1</c:v>
                </c:pt>
                <c:pt idx="14">
                  <c:v>2</c:v>
                </c:pt>
                <c:pt idx="15">
                  <c:v>3</c:v>
                </c:pt>
                <c:pt idx="16">
                  <c:v>4</c:v>
                </c:pt>
                <c:pt idx="17">
                  <c:v>5</c:v>
                </c:pt>
                <c:pt idx="18">
                  <c:v>6</c:v>
                </c:pt>
                <c:pt idx="19">
                  <c:v>7</c:v>
                </c:pt>
                <c:pt idx="20">
                  <c:v>8</c:v>
                </c:pt>
                <c:pt idx="21">
                  <c:v>9</c:v>
                </c:pt>
                <c:pt idx="22">
                  <c:v>10</c:v>
                </c:pt>
                <c:pt idx="23">
                  <c:v>11</c:v>
                </c:pt>
                <c:pt idx="24">
                  <c:v>12</c:v>
                </c:pt>
                <c:pt idx="25">
                  <c:v>13</c:v>
                </c:pt>
                <c:pt idx="26">
                  <c:v>14</c:v>
                </c:pt>
                <c:pt idx="27">
                  <c:v>15</c:v>
                </c:pt>
                <c:pt idx="28">
                  <c:v>16</c:v>
                </c:pt>
                <c:pt idx="29">
                  <c:v>17</c:v>
                </c:pt>
                <c:pt idx="30">
                  <c:v>18</c:v>
                </c:pt>
                <c:pt idx="31">
                  <c:v>19</c:v>
                </c:pt>
                <c:pt idx="32">
                  <c:v>20</c:v>
                </c:pt>
              </c:numCache>
            </c:numRef>
          </c:cat>
          <c:val>
            <c:numRef>
              <c:f>подаци!$B$10:$AH$10</c:f>
              <c:numCache>
                <c:formatCode>0.0</c:formatCode>
                <c:ptCount val="33"/>
                <c:pt idx="0" formatCode="@">
                  <c:v>0</c:v>
                </c:pt>
                <c:pt idx="1">
                  <c:v>12.629999999999999</c:v>
                </c:pt>
                <c:pt idx="2" formatCode="@">
                  <c:v>0</c:v>
                </c:pt>
                <c:pt idx="3" formatCode="General">
                  <c:v>18.130000000000031</c:v>
                </c:pt>
                <c:pt idx="4" formatCode="General">
                  <c:v>16.059999999999999</c:v>
                </c:pt>
                <c:pt idx="5" formatCode="General">
                  <c:v>20.810000000000031</c:v>
                </c:pt>
                <c:pt idx="6" formatCode="General">
                  <c:v>32.090000000000003</c:v>
                </c:pt>
                <c:pt idx="7" formatCode="General">
                  <c:v>29.37</c:v>
                </c:pt>
                <c:pt idx="8" formatCode="General">
                  <c:v>34.51</c:v>
                </c:pt>
                <c:pt idx="9" formatCode="General">
                  <c:v>63.349999999999994</c:v>
                </c:pt>
                <c:pt idx="10" formatCode="General">
                  <c:v>247</c:v>
                </c:pt>
                <c:pt idx="11" formatCode="General">
                  <c:v>355.11</c:v>
                </c:pt>
                <c:pt idx="12" formatCode="General">
                  <c:v>439.76</c:v>
                </c:pt>
                <c:pt idx="13" formatCode="@">
                  <c:v>382.78999999999928</c:v>
                </c:pt>
                <c:pt idx="14" formatCode="General">
                  <c:v>250.39000000000001</c:v>
                </c:pt>
                <c:pt idx="15" formatCode="General">
                  <c:v>146.94999999999999</c:v>
                </c:pt>
                <c:pt idx="16" formatCode="General">
                  <c:v>116.64999999999999</c:v>
                </c:pt>
                <c:pt idx="17" formatCode="#,##0.0">
                  <c:v>84.32</c:v>
                </c:pt>
                <c:pt idx="18" formatCode="#,##0.0">
                  <c:v>59.730000000000011</c:v>
                </c:pt>
                <c:pt idx="19" formatCode="#,##0.0">
                  <c:v>58.58</c:v>
                </c:pt>
                <c:pt idx="20" formatCode="#,##0.0">
                  <c:v>49.91</c:v>
                </c:pt>
                <c:pt idx="21" formatCode="#,##0.0">
                  <c:v>36.090000000000003</c:v>
                </c:pt>
                <c:pt idx="22" formatCode="#,##0.0">
                  <c:v>31.130000000000031</c:v>
                </c:pt>
                <c:pt idx="23" formatCode="#,##0.0">
                  <c:v>21.54</c:v>
                </c:pt>
                <c:pt idx="24" formatCode="#,##0.0">
                  <c:v>25.66</c:v>
                </c:pt>
                <c:pt idx="25" formatCode="#,##0.0">
                  <c:v>12.26</c:v>
                </c:pt>
                <c:pt idx="26" formatCode="#,##0.0">
                  <c:v>8.77</c:v>
                </c:pt>
                <c:pt idx="27" formatCode="#,##0.0">
                  <c:v>4.33</c:v>
                </c:pt>
                <c:pt idx="28" formatCode="#,##0.0">
                  <c:v>21.54</c:v>
                </c:pt>
                <c:pt idx="29" formatCode="#,##0.0">
                  <c:v>17.91</c:v>
                </c:pt>
                <c:pt idx="30" formatCode="#,##0.0">
                  <c:v>15.1</c:v>
                </c:pt>
                <c:pt idx="31" formatCode="#,##0.0">
                  <c:v>8.1</c:v>
                </c:pt>
                <c:pt idx="32" formatCode="#,##0.0">
                  <c:v>14.05</c:v>
                </c:pt>
              </c:numCache>
            </c:numRef>
          </c:val>
          <c:smooth val="0"/>
          <c:extLst xmlns:c16r2="http://schemas.microsoft.com/office/drawing/2015/06/chart">
            <c:ext xmlns:c16="http://schemas.microsoft.com/office/drawing/2014/chart" uri="{C3380CC4-5D6E-409C-BE32-E72D297353CC}">
              <c16:uniqueId val="{00000007-4C89-47B0-A811-9DB6B3DF17DD}"/>
            </c:ext>
          </c:extLst>
        </c:ser>
        <c:ser>
          <c:idx val="8"/>
          <c:order val="8"/>
          <c:tx>
            <c:strRef>
              <c:f>подаци!$A$11</c:f>
              <c:strCache>
                <c:ptCount val="1"/>
                <c:pt idx="0">
                  <c:v>Епидемијски праг</c:v>
                </c:pt>
              </c:strCache>
            </c:strRef>
          </c:tx>
          <c:spPr>
            <a:ln w="12700">
              <a:solidFill>
                <a:prstClr val="black"/>
              </a:solidFill>
              <a:prstDash val="dash"/>
            </a:ln>
          </c:spPr>
          <c:marker>
            <c:symbol val="none"/>
          </c:marker>
          <c:cat>
            <c:numRef>
              <c:f>подаци!$B$2:$AH$2</c:f>
              <c:numCache>
                <c:formatCode>General</c:formatCode>
                <c:ptCount val="33"/>
                <c:pt idx="0">
                  <c:v>40</c:v>
                </c:pt>
                <c:pt idx="1">
                  <c:v>41</c:v>
                </c:pt>
                <c:pt idx="2">
                  <c:v>42</c:v>
                </c:pt>
                <c:pt idx="3">
                  <c:v>43</c:v>
                </c:pt>
                <c:pt idx="4">
                  <c:v>44</c:v>
                </c:pt>
                <c:pt idx="5">
                  <c:v>45</c:v>
                </c:pt>
                <c:pt idx="6">
                  <c:v>46</c:v>
                </c:pt>
                <c:pt idx="7">
                  <c:v>47</c:v>
                </c:pt>
                <c:pt idx="8">
                  <c:v>48</c:v>
                </c:pt>
                <c:pt idx="9">
                  <c:v>49</c:v>
                </c:pt>
                <c:pt idx="10">
                  <c:v>50</c:v>
                </c:pt>
                <c:pt idx="11">
                  <c:v>51</c:v>
                </c:pt>
                <c:pt idx="12">
                  <c:v>52</c:v>
                </c:pt>
                <c:pt idx="13">
                  <c:v>1</c:v>
                </c:pt>
                <c:pt idx="14">
                  <c:v>2</c:v>
                </c:pt>
                <c:pt idx="15">
                  <c:v>3</c:v>
                </c:pt>
                <c:pt idx="16">
                  <c:v>4</c:v>
                </c:pt>
                <c:pt idx="17">
                  <c:v>5</c:v>
                </c:pt>
                <c:pt idx="18">
                  <c:v>6</c:v>
                </c:pt>
                <c:pt idx="19">
                  <c:v>7</c:v>
                </c:pt>
                <c:pt idx="20">
                  <c:v>8</c:v>
                </c:pt>
                <c:pt idx="21">
                  <c:v>9</c:v>
                </c:pt>
                <c:pt idx="22">
                  <c:v>10</c:v>
                </c:pt>
                <c:pt idx="23">
                  <c:v>11</c:v>
                </c:pt>
                <c:pt idx="24">
                  <c:v>12</c:v>
                </c:pt>
                <c:pt idx="25">
                  <c:v>13</c:v>
                </c:pt>
                <c:pt idx="26">
                  <c:v>14</c:v>
                </c:pt>
                <c:pt idx="27">
                  <c:v>15</c:v>
                </c:pt>
                <c:pt idx="28">
                  <c:v>16</c:v>
                </c:pt>
                <c:pt idx="29">
                  <c:v>17</c:v>
                </c:pt>
                <c:pt idx="30">
                  <c:v>18</c:v>
                </c:pt>
                <c:pt idx="31">
                  <c:v>19</c:v>
                </c:pt>
                <c:pt idx="32">
                  <c:v>20</c:v>
                </c:pt>
              </c:numCache>
            </c:numRef>
          </c:cat>
          <c:val>
            <c:numRef>
              <c:f>подаци!$B$11:$AH$11</c:f>
              <c:numCache>
                <c:formatCode>General</c:formatCode>
                <c:ptCount val="33"/>
                <c:pt idx="0">
                  <c:v>246.3</c:v>
                </c:pt>
                <c:pt idx="1">
                  <c:v>246.3</c:v>
                </c:pt>
                <c:pt idx="2">
                  <c:v>246.3</c:v>
                </c:pt>
                <c:pt idx="3">
                  <c:v>246.3</c:v>
                </c:pt>
                <c:pt idx="4">
                  <c:v>246.3</c:v>
                </c:pt>
                <c:pt idx="5">
                  <c:v>246.3</c:v>
                </c:pt>
                <c:pt idx="6">
                  <c:v>246.3</c:v>
                </c:pt>
                <c:pt idx="7">
                  <c:v>246.3</c:v>
                </c:pt>
                <c:pt idx="8">
                  <c:v>246.3</c:v>
                </c:pt>
                <c:pt idx="9">
                  <c:v>246.3</c:v>
                </c:pt>
                <c:pt idx="10">
                  <c:v>246.3</c:v>
                </c:pt>
                <c:pt idx="11">
                  <c:v>246.3</c:v>
                </c:pt>
                <c:pt idx="12">
                  <c:v>246.3</c:v>
                </c:pt>
                <c:pt idx="13">
                  <c:v>246.3</c:v>
                </c:pt>
                <c:pt idx="14">
                  <c:v>246.3</c:v>
                </c:pt>
                <c:pt idx="15">
                  <c:v>246.3</c:v>
                </c:pt>
                <c:pt idx="16">
                  <c:v>246.3</c:v>
                </c:pt>
                <c:pt idx="17">
                  <c:v>246.3</c:v>
                </c:pt>
                <c:pt idx="18">
                  <c:v>246.3</c:v>
                </c:pt>
                <c:pt idx="19">
                  <c:v>246.3</c:v>
                </c:pt>
                <c:pt idx="20">
                  <c:v>246.3</c:v>
                </c:pt>
                <c:pt idx="21">
                  <c:v>246.3</c:v>
                </c:pt>
                <c:pt idx="22">
                  <c:v>246.3</c:v>
                </c:pt>
                <c:pt idx="23">
                  <c:v>246.3</c:v>
                </c:pt>
                <c:pt idx="24">
                  <c:v>246.3</c:v>
                </c:pt>
                <c:pt idx="25">
                  <c:v>246.3</c:v>
                </c:pt>
                <c:pt idx="26">
                  <c:v>246.3</c:v>
                </c:pt>
                <c:pt idx="27">
                  <c:v>246.3</c:v>
                </c:pt>
                <c:pt idx="28">
                  <c:v>246.3</c:v>
                </c:pt>
                <c:pt idx="29">
                  <c:v>246.3</c:v>
                </c:pt>
                <c:pt idx="30">
                  <c:v>246.3</c:v>
                </c:pt>
                <c:pt idx="31">
                  <c:v>246.3</c:v>
                </c:pt>
                <c:pt idx="32">
                  <c:v>246.3</c:v>
                </c:pt>
              </c:numCache>
            </c:numRef>
          </c:val>
          <c:smooth val="0"/>
          <c:extLst xmlns:c16r2="http://schemas.microsoft.com/office/drawing/2015/06/chart">
            <c:ext xmlns:c16="http://schemas.microsoft.com/office/drawing/2014/chart" uri="{C3380CC4-5D6E-409C-BE32-E72D297353CC}">
              <c16:uniqueId val="{00000008-4C89-47B0-A811-9DB6B3DF17DD}"/>
            </c:ext>
          </c:extLst>
        </c:ser>
        <c:dLbls>
          <c:showLegendKey val="0"/>
          <c:showVal val="0"/>
          <c:showCatName val="0"/>
          <c:showSerName val="0"/>
          <c:showPercent val="0"/>
          <c:showBubbleSize val="0"/>
        </c:dLbls>
        <c:smooth val="0"/>
        <c:axId val="294723672"/>
        <c:axId val="294724064"/>
      </c:lineChart>
      <c:catAx>
        <c:axId val="294723672"/>
        <c:scaling>
          <c:orientation val="minMax"/>
        </c:scaling>
        <c:delete val="0"/>
        <c:axPos val="b"/>
        <c:numFmt formatCode="General" sourceLinked="1"/>
        <c:majorTickMark val="out"/>
        <c:minorTickMark val="none"/>
        <c:tickLblPos val="nextTo"/>
        <c:crossAx val="294724064"/>
        <c:crosses val="autoZero"/>
        <c:auto val="1"/>
        <c:lblAlgn val="ctr"/>
        <c:lblOffset val="100"/>
        <c:noMultiLvlLbl val="0"/>
      </c:catAx>
      <c:valAx>
        <c:axId val="294724064"/>
        <c:scaling>
          <c:orientation val="minMax"/>
        </c:scaling>
        <c:delete val="0"/>
        <c:axPos val="l"/>
        <c:majorGridlines/>
        <c:numFmt formatCode="General" sourceLinked="1"/>
        <c:majorTickMark val="out"/>
        <c:minorTickMark val="none"/>
        <c:tickLblPos val="nextTo"/>
        <c:crossAx val="294723672"/>
        <c:crosses val="autoZero"/>
        <c:crossBetween val="between"/>
      </c:valAx>
    </c:plotArea>
    <c:legend>
      <c:legendPos val="b"/>
      <c:layout>
        <c:manualLayout>
          <c:xMode val="edge"/>
          <c:yMode val="edge"/>
          <c:x val="0.16065251064928299"/>
          <c:y val="0.85833687672580294"/>
          <c:w val="0.79344262295081969"/>
          <c:h val="0.12978191486636753"/>
        </c:manualLayout>
      </c:layout>
      <c:overlay val="0"/>
      <c:txPr>
        <a:bodyPr/>
        <a:lstStyle/>
        <a:p>
          <a:pPr>
            <a:defRPr sz="1000"/>
          </a:pPr>
          <a:endParaRPr lang="en-US"/>
        </a:p>
      </c:txPr>
    </c:legend>
    <c:plotVisOnly val="1"/>
    <c:dispBlanksAs val="gap"/>
    <c:showDLblsOverMax val="0"/>
  </c:chart>
  <c:spPr>
    <a:ln>
      <a:noFill/>
    </a:ln>
  </c:spPr>
  <c:txPr>
    <a:bodyPr/>
    <a:lstStyle/>
    <a:p>
      <a:pPr>
        <a:defRPr sz="1200">
          <a:latin typeface="Century Gothic" pitchFamily="34" charset="0"/>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339738971901"/>
          <c:y val="2.3194204623608633E-2"/>
          <c:w val="0.71601451476200162"/>
          <c:h val="0.82729292254926989"/>
        </c:manualLayout>
      </c:layout>
      <c:lineChart>
        <c:grouping val="standard"/>
        <c:varyColors val="0"/>
        <c:ser>
          <c:idx val="0"/>
          <c:order val="0"/>
          <c:tx>
            <c:strRef>
              <c:f>'radne tabele'!$B$7</c:f>
              <c:strCache>
                <c:ptCount val="1"/>
                <c:pt idx="0">
                  <c:v>Morbilli  </c:v>
                </c:pt>
              </c:strCache>
            </c:strRef>
          </c:tx>
          <c:spPr>
            <a:ln w="47625">
              <a:solidFill>
                <a:srgbClr val="3494BA"/>
              </a:solidFill>
            </a:ln>
          </c:spPr>
          <c:marker>
            <c:symbol val="none"/>
          </c:marker>
          <c:cat>
            <c:numRef>
              <c:f>'radne tabele'!$F$1:$BW$1</c:f>
              <c:numCache>
                <c:formatCode>0</c:formatCode>
                <c:ptCount val="70"/>
                <c:pt idx="0">
                  <c:v>1948</c:v>
                </c:pt>
                <c:pt idx="1">
                  <c:v>1949</c:v>
                </c:pt>
                <c:pt idx="2">
                  <c:v>1950</c:v>
                </c:pt>
                <c:pt idx="3">
                  <c:v>1951</c:v>
                </c:pt>
                <c:pt idx="4">
                  <c:v>1952</c:v>
                </c:pt>
                <c:pt idx="5">
                  <c:v>1953</c:v>
                </c:pt>
                <c:pt idx="6">
                  <c:v>1954</c:v>
                </c:pt>
                <c:pt idx="7">
                  <c:v>1955</c:v>
                </c:pt>
                <c:pt idx="8">
                  <c:v>1956</c:v>
                </c:pt>
                <c:pt idx="9">
                  <c:v>1957</c:v>
                </c:pt>
                <c:pt idx="10">
                  <c:v>1958</c:v>
                </c:pt>
                <c:pt idx="11">
                  <c:v>1959</c:v>
                </c:pt>
                <c:pt idx="12">
                  <c:v>1960</c:v>
                </c:pt>
                <c:pt idx="13">
                  <c:v>1961</c:v>
                </c:pt>
                <c:pt idx="14">
                  <c:v>1962</c:v>
                </c:pt>
                <c:pt idx="15">
                  <c:v>1963</c:v>
                </c:pt>
                <c:pt idx="16">
                  <c:v>1964</c:v>
                </c:pt>
                <c:pt idx="17">
                  <c:v>1965</c:v>
                </c:pt>
                <c:pt idx="18">
                  <c:v>1966</c:v>
                </c:pt>
                <c:pt idx="19">
                  <c:v>1967</c:v>
                </c:pt>
                <c:pt idx="20">
                  <c:v>1968</c:v>
                </c:pt>
                <c:pt idx="21">
                  <c:v>1969</c:v>
                </c:pt>
                <c:pt idx="22">
                  <c:v>1970</c:v>
                </c:pt>
                <c:pt idx="23">
                  <c:v>1971</c:v>
                </c:pt>
                <c:pt idx="24">
                  <c:v>1972</c:v>
                </c:pt>
                <c:pt idx="25">
                  <c:v>1973</c:v>
                </c:pt>
                <c:pt idx="26">
                  <c:v>1974</c:v>
                </c:pt>
                <c:pt idx="27">
                  <c:v>1975</c:v>
                </c:pt>
                <c:pt idx="28">
                  <c:v>1976</c:v>
                </c:pt>
                <c:pt idx="29">
                  <c:v>1977</c:v>
                </c:pt>
                <c:pt idx="30">
                  <c:v>1978</c:v>
                </c:pt>
                <c:pt idx="31">
                  <c:v>1979</c:v>
                </c:pt>
                <c:pt idx="32">
                  <c:v>1980</c:v>
                </c:pt>
                <c:pt idx="33">
                  <c:v>1981</c:v>
                </c:pt>
                <c:pt idx="34">
                  <c:v>1982</c:v>
                </c:pt>
                <c:pt idx="35">
                  <c:v>1983</c:v>
                </c:pt>
                <c:pt idx="36">
                  <c:v>1984</c:v>
                </c:pt>
                <c:pt idx="37">
                  <c:v>1985</c:v>
                </c:pt>
                <c:pt idx="38">
                  <c:v>1986</c:v>
                </c:pt>
                <c:pt idx="39">
                  <c:v>1987</c:v>
                </c:pt>
                <c:pt idx="40">
                  <c:v>1988</c:v>
                </c:pt>
                <c:pt idx="41">
                  <c:v>1989</c:v>
                </c:pt>
                <c:pt idx="42">
                  <c:v>1990</c:v>
                </c:pt>
                <c:pt idx="43">
                  <c:v>1991</c:v>
                </c:pt>
                <c:pt idx="44">
                  <c:v>1992</c:v>
                </c:pt>
                <c:pt idx="45">
                  <c:v>1993</c:v>
                </c:pt>
                <c:pt idx="46">
                  <c:v>1994</c:v>
                </c:pt>
                <c:pt idx="47">
                  <c:v>1995</c:v>
                </c:pt>
                <c:pt idx="48">
                  <c:v>1996</c:v>
                </c:pt>
                <c:pt idx="49">
                  <c:v>1997</c:v>
                </c:pt>
                <c:pt idx="50">
                  <c:v>1998</c:v>
                </c:pt>
                <c:pt idx="51">
                  <c:v>1999</c:v>
                </c:pt>
                <c:pt idx="52">
                  <c:v>2000</c:v>
                </c:pt>
                <c:pt idx="53">
                  <c:v>2001</c:v>
                </c:pt>
                <c:pt idx="54">
                  <c:v>2002</c:v>
                </c:pt>
                <c:pt idx="55">
                  <c:v>2003</c:v>
                </c:pt>
                <c:pt idx="56">
                  <c:v>2004</c:v>
                </c:pt>
                <c:pt idx="57">
                  <c:v>2005</c:v>
                </c:pt>
                <c:pt idx="58">
                  <c:v>2006</c:v>
                </c:pt>
                <c:pt idx="59">
                  <c:v>2007</c:v>
                </c:pt>
                <c:pt idx="60">
                  <c:v>2008</c:v>
                </c:pt>
                <c:pt idx="61">
                  <c:v>2009</c:v>
                </c:pt>
                <c:pt idx="62">
                  <c:v>2010</c:v>
                </c:pt>
                <c:pt idx="63">
                  <c:v>2011</c:v>
                </c:pt>
                <c:pt idx="64">
                  <c:v>2012</c:v>
                </c:pt>
                <c:pt idx="65">
                  <c:v>2013</c:v>
                </c:pt>
                <c:pt idx="66" formatCode="General">
                  <c:v>2014</c:v>
                </c:pt>
                <c:pt idx="67" formatCode="General">
                  <c:v>2015</c:v>
                </c:pt>
                <c:pt idx="68" formatCode="General">
                  <c:v>2016</c:v>
                </c:pt>
                <c:pt idx="69" formatCode="General">
                  <c:v>2017</c:v>
                </c:pt>
              </c:numCache>
            </c:numRef>
          </c:cat>
          <c:val>
            <c:numRef>
              <c:f>'radne tabele'!$F$7:$BW$7</c:f>
              <c:numCache>
                <c:formatCode>0.00</c:formatCode>
                <c:ptCount val="70"/>
                <c:pt idx="0">
                  <c:v>19.440000000000001</c:v>
                </c:pt>
                <c:pt idx="1">
                  <c:v>73.569999999999993</c:v>
                </c:pt>
                <c:pt idx="2">
                  <c:v>179.49</c:v>
                </c:pt>
                <c:pt idx="3">
                  <c:v>95.26</c:v>
                </c:pt>
                <c:pt idx="4">
                  <c:v>14.9</c:v>
                </c:pt>
                <c:pt idx="5">
                  <c:v>234.03</c:v>
                </c:pt>
                <c:pt idx="6">
                  <c:v>145.75</c:v>
                </c:pt>
                <c:pt idx="7">
                  <c:v>137.53</c:v>
                </c:pt>
                <c:pt idx="8">
                  <c:v>118.62</c:v>
                </c:pt>
                <c:pt idx="9">
                  <c:v>390.72</c:v>
                </c:pt>
                <c:pt idx="10">
                  <c:v>134.08000000000001</c:v>
                </c:pt>
                <c:pt idx="11">
                  <c:v>546.70000000000005</c:v>
                </c:pt>
                <c:pt idx="12">
                  <c:v>329.03</c:v>
                </c:pt>
                <c:pt idx="13">
                  <c:v>210.95</c:v>
                </c:pt>
                <c:pt idx="14">
                  <c:v>266.17</c:v>
                </c:pt>
                <c:pt idx="15">
                  <c:v>566.78</c:v>
                </c:pt>
                <c:pt idx="16">
                  <c:v>520.19000000000005</c:v>
                </c:pt>
                <c:pt idx="17">
                  <c:v>735.51</c:v>
                </c:pt>
                <c:pt idx="18">
                  <c:v>180.99</c:v>
                </c:pt>
                <c:pt idx="19">
                  <c:v>604.02</c:v>
                </c:pt>
                <c:pt idx="20">
                  <c:v>656.7</c:v>
                </c:pt>
                <c:pt idx="21">
                  <c:v>553.34</c:v>
                </c:pt>
                <c:pt idx="22">
                  <c:v>768.78</c:v>
                </c:pt>
                <c:pt idx="23">
                  <c:v>293.97000000000003</c:v>
                </c:pt>
                <c:pt idx="24">
                  <c:v>73.42</c:v>
                </c:pt>
                <c:pt idx="25">
                  <c:v>234.09</c:v>
                </c:pt>
                <c:pt idx="26">
                  <c:v>260.31</c:v>
                </c:pt>
                <c:pt idx="27">
                  <c:v>96.46</c:v>
                </c:pt>
                <c:pt idx="28">
                  <c:v>59.88</c:v>
                </c:pt>
                <c:pt idx="29">
                  <c:v>142.77000000000001</c:v>
                </c:pt>
                <c:pt idx="30">
                  <c:v>134.30000000000001</c:v>
                </c:pt>
                <c:pt idx="31">
                  <c:v>126.71</c:v>
                </c:pt>
                <c:pt idx="32">
                  <c:v>355.63</c:v>
                </c:pt>
                <c:pt idx="33">
                  <c:v>139.56</c:v>
                </c:pt>
                <c:pt idx="34">
                  <c:v>49.01</c:v>
                </c:pt>
                <c:pt idx="35">
                  <c:v>51.89</c:v>
                </c:pt>
                <c:pt idx="36">
                  <c:v>129.21</c:v>
                </c:pt>
                <c:pt idx="37">
                  <c:v>111.08</c:v>
                </c:pt>
                <c:pt idx="38">
                  <c:v>16.2</c:v>
                </c:pt>
                <c:pt idx="39">
                  <c:v>92.37</c:v>
                </c:pt>
                <c:pt idx="40">
                  <c:v>14.6</c:v>
                </c:pt>
                <c:pt idx="41">
                  <c:v>105.07</c:v>
                </c:pt>
                <c:pt idx="42">
                  <c:v>19.12</c:v>
                </c:pt>
                <c:pt idx="43">
                  <c:v>3.58</c:v>
                </c:pt>
                <c:pt idx="44">
                  <c:v>17.82</c:v>
                </c:pt>
                <c:pt idx="45">
                  <c:v>163.21</c:v>
                </c:pt>
                <c:pt idx="46">
                  <c:v>9.74</c:v>
                </c:pt>
                <c:pt idx="47">
                  <c:v>8.8800000000000008</c:v>
                </c:pt>
                <c:pt idx="48">
                  <c:v>0.15</c:v>
                </c:pt>
                <c:pt idx="49">
                  <c:v>1.54</c:v>
                </c:pt>
                <c:pt idx="50">
                  <c:v>7.35</c:v>
                </c:pt>
                <c:pt idx="51">
                  <c:v>0.25</c:v>
                </c:pt>
                <c:pt idx="52">
                  <c:v>0.2</c:v>
                </c:pt>
                <c:pt idx="53">
                  <c:v>0</c:v>
                </c:pt>
                <c:pt idx="54">
                  <c:v>0</c:v>
                </c:pt>
                <c:pt idx="55">
                  <c:v>0</c:v>
                </c:pt>
                <c:pt idx="56">
                  <c:v>0</c:v>
                </c:pt>
                <c:pt idx="57">
                  <c:v>0</c:v>
                </c:pt>
                <c:pt idx="58">
                  <c:v>0</c:v>
                </c:pt>
                <c:pt idx="59">
                  <c:v>9.8425584352694298</c:v>
                </c:pt>
                <c:pt idx="60">
                  <c:v>0</c:v>
                </c:pt>
                <c:pt idx="61" formatCode="General">
                  <c:v>0</c:v>
                </c:pt>
                <c:pt idx="62">
                  <c:v>0</c:v>
                </c:pt>
                <c:pt idx="63" formatCode="General">
                  <c:v>0</c:v>
                </c:pt>
                <c:pt idx="64" formatCode="General">
                  <c:v>0</c:v>
                </c:pt>
                <c:pt idx="65" formatCode="General">
                  <c:v>5.1764951918124406E-2</c:v>
                </c:pt>
                <c:pt idx="66" formatCode="General">
                  <c:v>0.7</c:v>
                </c:pt>
                <c:pt idx="67" formatCode="General">
                  <c:v>4.0999999999999996</c:v>
                </c:pt>
                <c:pt idx="68" formatCode="General">
                  <c:v>0</c:v>
                </c:pt>
                <c:pt idx="69" formatCode="General">
                  <c:v>1.3</c:v>
                </c:pt>
              </c:numCache>
            </c:numRef>
          </c:val>
          <c:smooth val="1"/>
          <c:extLst xmlns:c16r2="http://schemas.microsoft.com/office/drawing/2015/06/chart">
            <c:ext xmlns:c16="http://schemas.microsoft.com/office/drawing/2014/chart" uri="{C3380CC4-5D6E-409C-BE32-E72D297353CC}">
              <c16:uniqueId val="{00000000-0C32-443B-8DD5-3EB8CCE1366F}"/>
            </c:ext>
          </c:extLst>
        </c:ser>
        <c:dLbls>
          <c:showLegendKey val="0"/>
          <c:showVal val="0"/>
          <c:showCatName val="0"/>
          <c:showSerName val="0"/>
          <c:showPercent val="0"/>
          <c:showBubbleSize val="0"/>
        </c:dLbls>
        <c:marker val="1"/>
        <c:smooth val="0"/>
        <c:axId val="353151280"/>
        <c:axId val="353151672"/>
      </c:lineChart>
      <c:lineChart>
        <c:grouping val="standard"/>
        <c:varyColors val="0"/>
        <c:ser>
          <c:idx val="1"/>
          <c:order val="1"/>
          <c:tx>
            <c:v>vakcinacija</c:v>
          </c:tx>
          <c:spPr>
            <a:ln>
              <a:solidFill>
                <a:sysClr val="windowText" lastClr="000000"/>
              </a:solidFill>
            </a:ln>
          </c:spPr>
          <c:marker>
            <c:symbol val="none"/>
          </c:marker>
          <c:cat>
            <c:numRef>
              <c:f>'radne tabele'!$C$1:$BW$1</c:f>
              <c:numCache>
                <c:formatCode>0</c:formatCode>
                <c:ptCount val="73"/>
                <c:pt idx="0">
                  <c:v>1945</c:v>
                </c:pt>
                <c:pt idx="1">
                  <c:v>1946</c:v>
                </c:pt>
                <c:pt idx="2">
                  <c:v>1947</c:v>
                </c:pt>
                <c:pt idx="3">
                  <c:v>1948</c:v>
                </c:pt>
                <c:pt idx="4">
                  <c:v>1949</c:v>
                </c:pt>
                <c:pt idx="5">
                  <c:v>1950</c:v>
                </c:pt>
                <c:pt idx="6">
                  <c:v>1951</c:v>
                </c:pt>
                <c:pt idx="7">
                  <c:v>1952</c:v>
                </c:pt>
                <c:pt idx="8">
                  <c:v>1953</c:v>
                </c:pt>
                <c:pt idx="9">
                  <c:v>1954</c:v>
                </c:pt>
                <c:pt idx="10">
                  <c:v>1955</c:v>
                </c:pt>
                <c:pt idx="11">
                  <c:v>1956</c:v>
                </c:pt>
                <c:pt idx="12">
                  <c:v>1957</c:v>
                </c:pt>
                <c:pt idx="13">
                  <c:v>1958</c:v>
                </c:pt>
                <c:pt idx="14">
                  <c:v>1959</c:v>
                </c:pt>
                <c:pt idx="15">
                  <c:v>1960</c:v>
                </c:pt>
                <c:pt idx="16">
                  <c:v>1961</c:v>
                </c:pt>
                <c:pt idx="17">
                  <c:v>1962</c:v>
                </c:pt>
                <c:pt idx="18">
                  <c:v>1963</c:v>
                </c:pt>
                <c:pt idx="19">
                  <c:v>1964</c:v>
                </c:pt>
                <c:pt idx="20">
                  <c:v>1965</c:v>
                </c:pt>
                <c:pt idx="21">
                  <c:v>1966</c:v>
                </c:pt>
                <c:pt idx="22">
                  <c:v>1967</c:v>
                </c:pt>
                <c:pt idx="23">
                  <c:v>1968</c:v>
                </c:pt>
                <c:pt idx="24">
                  <c:v>1969</c:v>
                </c:pt>
                <c:pt idx="25">
                  <c:v>1970</c:v>
                </c:pt>
                <c:pt idx="26">
                  <c:v>1971</c:v>
                </c:pt>
                <c:pt idx="27">
                  <c:v>1972</c:v>
                </c:pt>
                <c:pt idx="28">
                  <c:v>1973</c:v>
                </c:pt>
                <c:pt idx="29">
                  <c:v>1974</c:v>
                </c:pt>
                <c:pt idx="30">
                  <c:v>1975</c:v>
                </c:pt>
                <c:pt idx="31">
                  <c:v>1976</c:v>
                </c:pt>
                <c:pt idx="32">
                  <c:v>1977</c:v>
                </c:pt>
                <c:pt idx="33">
                  <c:v>1978</c:v>
                </c:pt>
                <c:pt idx="34">
                  <c:v>1979</c:v>
                </c:pt>
                <c:pt idx="35">
                  <c:v>1980</c:v>
                </c:pt>
                <c:pt idx="36">
                  <c:v>1981</c:v>
                </c:pt>
                <c:pt idx="37">
                  <c:v>1982</c:v>
                </c:pt>
                <c:pt idx="38">
                  <c:v>1983</c:v>
                </c:pt>
                <c:pt idx="39">
                  <c:v>1984</c:v>
                </c:pt>
                <c:pt idx="40">
                  <c:v>1985</c:v>
                </c:pt>
                <c:pt idx="41">
                  <c:v>1986</c:v>
                </c:pt>
                <c:pt idx="42">
                  <c:v>1987</c:v>
                </c:pt>
                <c:pt idx="43">
                  <c:v>1988</c:v>
                </c:pt>
                <c:pt idx="44">
                  <c:v>1989</c:v>
                </c:pt>
                <c:pt idx="45">
                  <c:v>1990</c:v>
                </c:pt>
                <c:pt idx="46">
                  <c:v>1991</c:v>
                </c:pt>
                <c:pt idx="47">
                  <c:v>1992</c:v>
                </c:pt>
                <c:pt idx="48">
                  <c:v>1993</c:v>
                </c:pt>
                <c:pt idx="49">
                  <c:v>1994</c:v>
                </c:pt>
                <c:pt idx="50">
                  <c:v>1995</c:v>
                </c:pt>
                <c:pt idx="51">
                  <c:v>1996</c:v>
                </c:pt>
                <c:pt idx="52">
                  <c:v>1997</c:v>
                </c:pt>
                <c:pt idx="53">
                  <c:v>1998</c:v>
                </c:pt>
                <c:pt idx="54">
                  <c:v>1999</c:v>
                </c:pt>
                <c:pt idx="55">
                  <c:v>2000</c:v>
                </c:pt>
                <c:pt idx="56">
                  <c:v>2001</c:v>
                </c:pt>
                <c:pt idx="57">
                  <c:v>2002</c:v>
                </c:pt>
                <c:pt idx="58">
                  <c:v>2003</c:v>
                </c:pt>
                <c:pt idx="59">
                  <c:v>2004</c:v>
                </c:pt>
                <c:pt idx="60">
                  <c:v>2005</c:v>
                </c:pt>
                <c:pt idx="61">
                  <c:v>2006</c:v>
                </c:pt>
                <c:pt idx="62">
                  <c:v>2007</c:v>
                </c:pt>
                <c:pt idx="63">
                  <c:v>2008</c:v>
                </c:pt>
                <c:pt idx="64">
                  <c:v>2009</c:v>
                </c:pt>
                <c:pt idx="65">
                  <c:v>2010</c:v>
                </c:pt>
                <c:pt idx="66">
                  <c:v>2011</c:v>
                </c:pt>
                <c:pt idx="67">
                  <c:v>2012</c:v>
                </c:pt>
                <c:pt idx="68">
                  <c:v>2013</c:v>
                </c:pt>
                <c:pt idx="69" formatCode="General">
                  <c:v>2014</c:v>
                </c:pt>
                <c:pt idx="70" formatCode="General">
                  <c:v>2015</c:v>
                </c:pt>
                <c:pt idx="71" formatCode="General">
                  <c:v>2016</c:v>
                </c:pt>
                <c:pt idx="72" formatCode="General">
                  <c:v>2017</c:v>
                </c:pt>
              </c:numCache>
            </c:numRef>
          </c:cat>
          <c:val>
            <c:numRef>
              <c:f>'radne tabele'!$F$17:$BW$17</c:f>
              <c:numCache>
                <c:formatCode>General</c:formatCode>
                <c:ptCount val="70"/>
                <c:pt idx="23" formatCode="0%">
                  <c:v>0.87920132447689148</c:v>
                </c:pt>
                <c:pt idx="24" formatCode="0%">
                  <c:v>0.88915789233264053</c:v>
                </c:pt>
                <c:pt idx="25" formatCode="0%">
                  <c:v>0.87858537317915608</c:v>
                </c:pt>
                <c:pt idx="26" formatCode="0%">
                  <c:v>0.88752400768245843</c:v>
                </c:pt>
                <c:pt idx="27" formatCode="0%">
                  <c:v>0.83769995676610465</c:v>
                </c:pt>
                <c:pt idx="28" formatCode="0%">
                  <c:v>0.89611265073777246</c:v>
                </c:pt>
                <c:pt idx="29" formatCode="0%">
                  <c:v>0.9064459591041869</c:v>
                </c:pt>
                <c:pt idx="30" formatCode="0%">
                  <c:v>0.89770237067534364</c:v>
                </c:pt>
                <c:pt idx="31" formatCode="0%">
                  <c:v>0.9238180196253345</c:v>
                </c:pt>
                <c:pt idx="32" formatCode="0%">
                  <c:v>0.87649815748989302</c:v>
                </c:pt>
                <c:pt idx="33" formatCode="0%">
                  <c:v>0.93003661701446905</c:v>
                </c:pt>
                <c:pt idx="34" formatCode="0%">
                  <c:v>0.94064167368716656</c:v>
                </c:pt>
                <c:pt idx="35" formatCode="0%">
                  <c:v>0.94740241391837887</c:v>
                </c:pt>
                <c:pt idx="36" formatCode="0%">
                  <c:v>0.92447254484227892</c:v>
                </c:pt>
                <c:pt idx="37" formatCode="0%">
                  <c:v>0.94615515771526004</c:v>
                </c:pt>
                <c:pt idx="38" formatCode="0%">
                  <c:v>0.94191584601611456</c:v>
                </c:pt>
                <c:pt idx="39" formatCode="0%">
                  <c:v>0.93792652527481513</c:v>
                </c:pt>
                <c:pt idx="40" formatCode="0%">
                  <c:v>0.95942314582586885</c:v>
                </c:pt>
                <c:pt idx="41" formatCode="0%">
                  <c:v>0.97496161064664733</c:v>
                </c:pt>
                <c:pt idx="42" formatCode="0%">
                  <c:v>0.97198626423278511</c:v>
                </c:pt>
                <c:pt idx="43" formatCode="0%">
                  <c:v>0.95432008080066111</c:v>
                </c:pt>
                <c:pt idx="44" formatCode="0%">
                  <c:v>0.95952161913523459</c:v>
                </c:pt>
                <c:pt idx="45" formatCode="0%">
                  <c:v>0.97118518095020301</c:v>
                </c:pt>
                <c:pt idx="46" formatCode="0%">
                  <c:v>0.92553796568395108</c:v>
                </c:pt>
                <c:pt idx="47" formatCode="0%">
                  <c:v>0.95465630927648815</c:v>
                </c:pt>
                <c:pt idx="48" formatCode="0%">
                  <c:v>0.96463063913808644</c:v>
                </c:pt>
                <c:pt idx="49" formatCode="0%">
                  <c:v>0.97750057750057751</c:v>
                </c:pt>
                <c:pt idx="50" formatCode="0%">
                  <c:v>0.96382202771699488</c:v>
                </c:pt>
                <c:pt idx="51" formatCode="0%">
                  <c:v>0.94433399602385681</c:v>
                </c:pt>
                <c:pt idx="52" formatCode="0%">
                  <c:v>0.82080924855491333</c:v>
                </c:pt>
                <c:pt idx="53" formatCode="0%">
                  <c:v>0.96983424276742514</c:v>
                </c:pt>
                <c:pt idx="54" formatCode="0%">
                  <c:v>0.93983756660286588</c:v>
                </c:pt>
                <c:pt idx="55" formatCode="0%">
                  <c:v>0.96624078113638723</c:v>
                </c:pt>
                <c:pt idx="56" formatCode="0%">
                  <c:v>0.97756990025324308</c:v>
                </c:pt>
                <c:pt idx="57" formatCode="0%">
                  <c:v>0.98056638087815018</c:v>
                </c:pt>
                <c:pt idx="58" formatCode="0%">
                  <c:v>0.96233279828785445</c:v>
                </c:pt>
                <c:pt idx="59" formatCode="0%">
                  <c:v>0.97092354356238886</c:v>
                </c:pt>
                <c:pt idx="60" formatCode="0%">
                  <c:v>0.98130688320889425</c:v>
                </c:pt>
                <c:pt idx="61" formatCode="0%">
                  <c:v>0.97499999999999998</c:v>
                </c:pt>
                <c:pt idx="62" formatCode="0%">
                  <c:v>0.97399999999999998</c:v>
                </c:pt>
                <c:pt idx="63" formatCode="0%">
                  <c:v>0.98299999999999998</c:v>
                </c:pt>
                <c:pt idx="64" formatCode="0%">
                  <c:v>0.90639999999999998</c:v>
                </c:pt>
                <c:pt idx="65" formatCode="0%">
                  <c:v>0.96</c:v>
                </c:pt>
                <c:pt idx="66" formatCode="0%">
                  <c:v>0.86</c:v>
                </c:pt>
                <c:pt idx="67" formatCode="0%">
                  <c:v>0.9</c:v>
                </c:pt>
                <c:pt idx="68" formatCode="0%">
                  <c:v>0.89</c:v>
                </c:pt>
                <c:pt idx="69" formatCode="0%">
                  <c:v>0.78</c:v>
                </c:pt>
              </c:numCache>
            </c:numRef>
          </c:val>
          <c:smooth val="1"/>
          <c:extLst xmlns:c16r2="http://schemas.microsoft.com/office/drawing/2015/06/chart">
            <c:ext xmlns:c16="http://schemas.microsoft.com/office/drawing/2014/chart" uri="{C3380CC4-5D6E-409C-BE32-E72D297353CC}">
              <c16:uniqueId val="{00000001-0C32-443B-8DD5-3EB8CCE1366F}"/>
            </c:ext>
          </c:extLst>
        </c:ser>
        <c:dLbls>
          <c:showLegendKey val="0"/>
          <c:showVal val="0"/>
          <c:showCatName val="0"/>
          <c:showSerName val="0"/>
          <c:showPercent val="0"/>
          <c:showBubbleSize val="0"/>
        </c:dLbls>
        <c:marker val="1"/>
        <c:smooth val="0"/>
        <c:axId val="353152456"/>
        <c:axId val="353152064"/>
      </c:lineChart>
      <c:catAx>
        <c:axId val="353151280"/>
        <c:scaling>
          <c:orientation val="minMax"/>
        </c:scaling>
        <c:delete val="0"/>
        <c:axPos val="b"/>
        <c:numFmt formatCode="0" sourceLinked="1"/>
        <c:majorTickMark val="out"/>
        <c:minorTickMark val="none"/>
        <c:tickLblPos val="nextTo"/>
        <c:txPr>
          <a:bodyPr rot="-5400000" vert="horz"/>
          <a:lstStyle/>
          <a:p>
            <a:pPr>
              <a:defRPr/>
            </a:pPr>
            <a:endParaRPr lang="en-US"/>
          </a:p>
        </c:txPr>
        <c:crossAx val="353151672"/>
        <c:crosses val="autoZero"/>
        <c:auto val="1"/>
        <c:lblAlgn val="ctr"/>
        <c:lblOffset val="100"/>
        <c:noMultiLvlLbl val="0"/>
      </c:catAx>
      <c:valAx>
        <c:axId val="353151672"/>
        <c:scaling>
          <c:orientation val="minMax"/>
          <c:max val="1000"/>
          <c:min val="0"/>
        </c:scaling>
        <c:delete val="0"/>
        <c:axPos val="l"/>
        <c:majorGridlines/>
        <c:numFmt formatCode="0.00" sourceLinked="1"/>
        <c:majorTickMark val="out"/>
        <c:minorTickMark val="none"/>
        <c:tickLblPos val="nextTo"/>
        <c:crossAx val="353151280"/>
        <c:crosses val="autoZero"/>
        <c:crossBetween val="between"/>
      </c:valAx>
      <c:valAx>
        <c:axId val="353152064"/>
        <c:scaling>
          <c:orientation val="minMax"/>
          <c:max val="1"/>
          <c:min val="0"/>
        </c:scaling>
        <c:delete val="0"/>
        <c:axPos val="r"/>
        <c:numFmt formatCode="0.00%" sourceLinked="0"/>
        <c:majorTickMark val="out"/>
        <c:minorTickMark val="none"/>
        <c:tickLblPos val="nextTo"/>
        <c:crossAx val="353152456"/>
        <c:crosses val="max"/>
        <c:crossBetween val="between"/>
      </c:valAx>
      <c:catAx>
        <c:axId val="353152456"/>
        <c:scaling>
          <c:orientation val="minMax"/>
        </c:scaling>
        <c:delete val="1"/>
        <c:axPos val="b"/>
        <c:numFmt formatCode="0" sourceLinked="1"/>
        <c:majorTickMark val="out"/>
        <c:minorTickMark val="none"/>
        <c:tickLblPos val="none"/>
        <c:crossAx val="353152064"/>
        <c:crosses val="autoZero"/>
        <c:auto val="1"/>
        <c:lblAlgn val="ctr"/>
        <c:lblOffset val="100"/>
        <c:noMultiLvlLbl val="0"/>
      </c:catAx>
    </c:plotArea>
    <c:plotVisOnly val="1"/>
    <c:dispBlanksAs val="gap"/>
    <c:showDLblsOverMax val="0"/>
  </c:chart>
  <c:spPr>
    <a:noFill/>
    <a:ln>
      <a:noFill/>
    </a:ln>
  </c:sp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85339738971901"/>
          <c:y val="2.3194204623608633E-2"/>
          <c:w val="0.71601451476200162"/>
          <c:h val="0.82729292254926989"/>
        </c:manualLayout>
      </c:layout>
      <c:lineChart>
        <c:grouping val="standard"/>
        <c:varyColors val="0"/>
        <c:ser>
          <c:idx val="0"/>
          <c:order val="0"/>
          <c:tx>
            <c:strRef>
              <c:f>'[grafikoni za vakcinabilne do 2017-za Josipa.xlsx]radne tabele'!$B$5</c:f>
              <c:strCache>
                <c:ptCount val="1"/>
                <c:pt idx="0">
                  <c:v>Pertussis  </c:v>
                </c:pt>
              </c:strCache>
            </c:strRef>
          </c:tx>
          <c:spPr>
            <a:ln w="47625">
              <a:solidFill>
                <a:srgbClr val="3494BA"/>
              </a:solidFill>
            </a:ln>
          </c:spPr>
          <c:marker>
            <c:symbol val="none"/>
          </c:marker>
          <c:cat>
            <c:numRef>
              <c:f>'[grafikoni za vakcinabilne do 2017-za Josipa.xlsx]radne tabele'!$F$1:$BW$1</c:f>
              <c:numCache>
                <c:formatCode>0</c:formatCode>
                <c:ptCount val="70"/>
                <c:pt idx="0">
                  <c:v>1948</c:v>
                </c:pt>
                <c:pt idx="1">
                  <c:v>1949</c:v>
                </c:pt>
                <c:pt idx="2">
                  <c:v>1950</c:v>
                </c:pt>
                <c:pt idx="3">
                  <c:v>1951</c:v>
                </c:pt>
                <c:pt idx="4">
                  <c:v>1952</c:v>
                </c:pt>
                <c:pt idx="5">
                  <c:v>1953</c:v>
                </c:pt>
                <c:pt idx="6">
                  <c:v>1954</c:v>
                </c:pt>
                <c:pt idx="7">
                  <c:v>1955</c:v>
                </c:pt>
                <c:pt idx="8">
                  <c:v>1956</c:v>
                </c:pt>
                <c:pt idx="9">
                  <c:v>1957</c:v>
                </c:pt>
                <c:pt idx="10">
                  <c:v>1958</c:v>
                </c:pt>
                <c:pt idx="11">
                  <c:v>1959</c:v>
                </c:pt>
                <c:pt idx="12">
                  <c:v>1960</c:v>
                </c:pt>
                <c:pt idx="13">
                  <c:v>1961</c:v>
                </c:pt>
                <c:pt idx="14">
                  <c:v>1962</c:v>
                </c:pt>
                <c:pt idx="15">
                  <c:v>1963</c:v>
                </c:pt>
                <c:pt idx="16">
                  <c:v>1964</c:v>
                </c:pt>
                <c:pt idx="17">
                  <c:v>1965</c:v>
                </c:pt>
                <c:pt idx="18">
                  <c:v>1966</c:v>
                </c:pt>
                <c:pt idx="19">
                  <c:v>1967</c:v>
                </c:pt>
                <c:pt idx="20">
                  <c:v>1968</c:v>
                </c:pt>
                <c:pt idx="21">
                  <c:v>1969</c:v>
                </c:pt>
                <c:pt idx="22">
                  <c:v>1970</c:v>
                </c:pt>
                <c:pt idx="23">
                  <c:v>1971</c:v>
                </c:pt>
                <c:pt idx="24">
                  <c:v>1972</c:v>
                </c:pt>
                <c:pt idx="25">
                  <c:v>1973</c:v>
                </c:pt>
                <c:pt idx="26">
                  <c:v>1974</c:v>
                </c:pt>
                <c:pt idx="27">
                  <c:v>1975</c:v>
                </c:pt>
                <c:pt idx="28">
                  <c:v>1976</c:v>
                </c:pt>
                <c:pt idx="29">
                  <c:v>1977</c:v>
                </c:pt>
                <c:pt idx="30">
                  <c:v>1978</c:v>
                </c:pt>
                <c:pt idx="31">
                  <c:v>1979</c:v>
                </c:pt>
                <c:pt idx="32">
                  <c:v>1980</c:v>
                </c:pt>
                <c:pt idx="33">
                  <c:v>1981</c:v>
                </c:pt>
                <c:pt idx="34">
                  <c:v>1982</c:v>
                </c:pt>
                <c:pt idx="35">
                  <c:v>1983</c:v>
                </c:pt>
                <c:pt idx="36">
                  <c:v>1984</c:v>
                </c:pt>
                <c:pt idx="37">
                  <c:v>1985</c:v>
                </c:pt>
                <c:pt idx="38">
                  <c:v>1986</c:v>
                </c:pt>
                <c:pt idx="39">
                  <c:v>1987</c:v>
                </c:pt>
                <c:pt idx="40">
                  <c:v>1988</c:v>
                </c:pt>
                <c:pt idx="41">
                  <c:v>1989</c:v>
                </c:pt>
                <c:pt idx="42">
                  <c:v>1990</c:v>
                </c:pt>
                <c:pt idx="43">
                  <c:v>1991</c:v>
                </c:pt>
                <c:pt idx="44">
                  <c:v>1992</c:v>
                </c:pt>
                <c:pt idx="45">
                  <c:v>1993</c:v>
                </c:pt>
                <c:pt idx="46">
                  <c:v>1994</c:v>
                </c:pt>
                <c:pt idx="47">
                  <c:v>1995</c:v>
                </c:pt>
                <c:pt idx="48">
                  <c:v>1996</c:v>
                </c:pt>
                <c:pt idx="49">
                  <c:v>1997</c:v>
                </c:pt>
                <c:pt idx="50">
                  <c:v>1998</c:v>
                </c:pt>
                <c:pt idx="51">
                  <c:v>1999</c:v>
                </c:pt>
                <c:pt idx="52">
                  <c:v>2000</c:v>
                </c:pt>
                <c:pt idx="53">
                  <c:v>2001</c:v>
                </c:pt>
                <c:pt idx="54">
                  <c:v>2002</c:v>
                </c:pt>
                <c:pt idx="55">
                  <c:v>2003</c:v>
                </c:pt>
                <c:pt idx="56">
                  <c:v>2004</c:v>
                </c:pt>
                <c:pt idx="57">
                  <c:v>2005</c:v>
                </c:pt>
                <c:pt idx="58">
                  <c:v>2006</c:v>
                </c:pt>
                <c:pt idx="59">
                  <c:v>2007</c:v>
                </c:pt>
                <c:pt idx="60">
                  <c:v>2008</c:v>
                </c:pt>
                <c:pt idx="61">
                  <c:v>2009</c:v>
                </c:pt>
                <c:pt idx="62">
                  <c:v>2010</c:v>
                </c:pt>
                <c:pt idx="63">
                  <c:v>2011</c:v>
                </c:pt>
                <c:pt idx="64">
                  <c:v>2012</c:v>
                </c:pt>
                <c:pt idx="65">
                  <c:v>2013</c:v>
                </c:pt>
                <c:pt idx="66" formatCode="General">
                  <c:v>2014</c:v>
                </c:pt>
                <c:pt idx="67" formatCode="General">
                  <c:v>2015</c:v>
                </c:pt>
                <c:pt idx="68" formatCode="General">
                  <c:v>2016</c:v>
                </c:pt>
                <c:pt idx="69" formatCode="General">
                  <c:v>2017</c:v>
                </c:pt>
              </c:numCache>
            </c:numRef>
          </c:cat>
          <c:val>
            <c:numRef>
              <c:f>'[grafikoni za vakcinabilne do 2017-za Josipa.xlsx]radne tabele'!$F$5:$BW$5</c:f>
              <c:numCache>
                <c:formatCode>0.00</c:formatCode>
                <c:ptCount val="70"/>
                <c:pt idx="0">
                  <c:v>21.31</c:v>
                </c:pt>
                <c:pt idx="1">
                  <c:v>17.11</c:v>
                </c:pt>
                <c:pt idx="2">
                  <c:v>67.040000000000006</c:v>
                </c:pt>
                <c:pt idx="3">
                  <c:v>90.9</c:v>
                </c:pt>
                <c:pt idx="4">
                  <c:v>39.43</c:v>
                </c:pt>
                <c:pt idx="5">
                  <c:v>108</c:v>
                </c:pt>
                <c:pt idx="6">
                  <c:v>173.18</c:v>
                </c:pt>
                <c:pt idx="7">
                  <c:v>101.94</c:v>
                </c:pt>
                <c:pt idx="8">
                  <c:v>164.16</c:v>
                </c:pt>
                <c:pt idx="9">
                  <c:v>206.11</c:v>
                </c:pt>
                <c:pt idx="10">
                  <c:v>184.56</c:v>
                </c:pt>
                <c:pt idx="11">
                  <c:v>242.12</c:v>
                </c:pt>
                <c:pt idx="12">
                  <c:v>207.41</c:v>
                </c:pt>
                <c:pt idx="13">
                  <c:v>45.35</c:v>
                </c:pt>
                <c:pt idx="14">
                  <c:v>55.22</c:v>
                </c:pt>
                <c:pt idx="15">
                  <c:v>71.739999999999995</c:v>
                </c:pt>
                <c:pt idx="16">
                  <c:v>62.84</c:v>
                </c:pt>
                <c:pt idx="17">
                  <c:v>30.02</c:v>
                </c:pt>
                <c:pt idx="18">
                  <c:v>25.59</c:v>
                </c:pt>
                <c:pt idx="19">
                  <c:v>40.11</c:v>
                </c:pt>
                <c:pt idx="20">
                  <c:v>41.24</c:v>
                </c:pt>
                <c:pt idx="21">
                  <c:v>22.62</c:v>
                </c:pt>
                <c:pt idx="22">
                  <c:v>31.01</c:v>
                </c:pt>
                <c:pt idx="23">
                  <c:v>11.93</c:v>
                </c:pt>
                <c:pt idx="24">
                  <c:v>11.58</c:v>
                </c:pt>
                <c:pt idx="25">
                  <c:v>14.08</c:v>
                </c:pt>
                <c:pt idx="26">
                  <c:v>19.600000000000001</c:v>
                </c:pt>
                <c:pt idx="27">
                  <c:v>15.29</c:v>
                </c:pt>
                <c:pt idx="28">
                  <c:v>10.31</c:v>
                </c:pt>
                <c:pt idx="29">
                  <c:v>15.64</c:v>
                </c:pt>
                <c:pt idx="30">
                  <c:v>18.14</c:v>
                </c:pt>
                <c:pt idx="31">
                  <c:v>23.02</c:v>
                </c:pt>
                <c:pt idx="32">
                  <c:v>9.4499999999999993</c:v>
                </c:pt>
                <c:pt idx="33">
                  <c:v>11.31</c:v>
                </c:pt>
                <c:pt idx="34">
                  <c:v>14.85</c:v>
                </c:pt>
                <c:pt idx="35">
                  <c:v>10.53</c:v>
                </c:pt>
                <c:pt idx="36">
                  <c:v>10.66</c:v>
                </c:pt>
                <c:pt idx="37">
                  <c:v>5.17</c:v>
                </c:pt>
                <c:pt idx="38">
                  <c:v>3.11</c:v>
                </c:pt>
                <c:pt idx="39">
                  <c:v>6.27</c:v>
                </c:pt>
                <c:pt idx="40">
                  <c:v>2.23</c:v>
                </c:pt>
                <c:pt idx="41">
                  <c:v>1.44</c:v>
                </c:pt>
                <c:pt idx="42">
                  <c:v>1.94</c:v>
                </c:pt>
                <c:pt idx="43">
                  <c:v>0.75</c:v>
                </c:pt>
                <c:pt idx="44">
                  <c:v>1.29</c:v>
                </c:pt>
                <c:pt idx="45">
                  <c:v>2.38</c:v>
                </c:pt>
                <c:pt idx="46">
                  <c:v>0.25</c:v>
                </c:pt>
                <c:pt idx="47">
                  <c:v>0.5</c:v>
                </c:pt>
                <c:pt idx="48">
                  <c:v>0.35</c:v>
                </c:pt>
                <c:pt idx="49">
                  <c:v>0.4</c:v>
                </c:pt>
                <c:pt idx="50">
                  <c:v>0.05</c:v>
                </c:pt>
                <c:pt idx="51">
                  <c:v>0.15</c:v>
                </c:pt>
                <c:pt idx="52">
                  <c:v>0.15</c:v>
                </c:pt>
                <c:pt idx="53">
                  <c:v>0</c:v>
                </c:pt>
                <c:pt idx="54">
                  <c:v>0</c:v>
                </c:pt>
                <c:pt idx="55">
                  <c:v>4.921279217634715E-2</c:v>
                </c:pt>
                <c:pt idx="56">
                  <c:v>0.54134071393981864</c:v>
                </c:pt>
                <c:pt idx="57">
                  <c:v>9.8425584352694301E-2</c:v>
                </c:pt>
                <c:pt idx="58">
                  <c:v>0</c:v>
                </c:pt>
                <c:pt idx="59">
                  <c:v>0</c:v>
                </c:pt>
                <c:pt idx="60">
                  <c:v>0</c:v>
                </c:pt>
                <c:pt idx="61" formatCode="General">
                  <c:v>0.09</c:v>
                </c:pt>
                <c:pt idx="62">
                  <c:v>0</c:v>
                </c:pt>
                <c:pt idx="63" formatCode="General">
                  <c:v>0.01</c:v>
                </c:pt>
                <c:pt idx="64" formatCode="General">
                  <c:v>0.98425584352694295</c:v>
                </c:pt>
                <c:pt idx="65" formatCode="General">
                  <c:v>1.6047135094618568</c:v>
                </c:pt>
                <c:pt idx="66" formatCode="General">
                  <c:v>12.8</c:v>
                </c:pt>
                <c:pt idx="67" formatCode="General">
                  <c:v>3.3</c:v>
                </c:pt>
                <c:pt idx="68" formatCode="General">
                  <c:v>7.3</c:v>
                </c:pt>
                <c:pt idx="69" formatCode="General">
                  <c:v>12.2</c:v>
                </c:pt>
              </c:numCache>
            </c:numRef>
          </c:val>
          <c:smooth val="1"/>
          <c:extLst xmlns:c16r2="http://schemas.microsoft.com/office/drawing/2015/06/chart">
            <c:ext xmlns:c16="http://schemas.microsoft.com/office/drawing/2014/chart" uri="{C3380CC4-5D6E-409C-BE32-E72D297353CC}">
              <c16:uniqueId val="{00000000-9DB3-4260-ACC8-153D557A80BC}"/>
            </c:ext>
          </c:extLst>
        </c:ser>
        <c:dLbls>
          <c:showLegendKey val="0"/>
          <c:showVal val="0"/>
          <c:showCatName val="0"/>
          <c:showSerName val="0"/>
          <c:showPercent val="0"/>
          <c:showBubbleSize val="0"/>
        </c:dLbls>
        <c:marker val="1"/>
        <c:smooth val="0"/>
        <c:axId val="296253152"/>
        <c:axId val="296253544"/>
      </c:lineChart>
      <c:lineChart>
        <c:grouping val="standard"/>
        <c:varyColors val="0"/>
        <c:ser>
          <c:idx val="1"/>
          <c:order val="1"/>
          <c:tx>
            <c:v>VAkcinacija</c:v>
          </c:tx>
          <c:spPr>
            <a:ln>
              <a:solidFill>
                <a:sysClr val="windowText" lastClr="000000"/>
              </a:solidFill>
            </a:ln>
          </c:spPr>
          <c:marker>
            <c:symbol val="none"/>
          </c:marker>
          <c:cat>
            <c:numRef>
              <c:f>'[grafikoni za vakcinabilne do 2017-za Josipa.xlsx]radne tabele'!$F$1:$BW$1</c:f>
              <c:numCache>
                <c:formatCode>0</c:formatCode>
                <c:ptCount val="70"/>
                <c:pt idx="0">
                  <c:v>1948</c:v>
                </c:pt>
                <c:pt idx="1">
                  <c:v>1949</c:v>
                </c:pt>
                <c:pt idx="2">
                  <c:v>1950</c:v>
                </c:pt>
                <c:pt idx="3">
                  <c:v>1951</c:v>
                </c:pt>
                <c:pt idx="4">
                  <c:v>1952</c:v>
                </c:pt>
                <c:pt idx="5">
                  <c:v>1953</c:v>
                </c:pt>
                <c:pt idx="6">
                  <c:v>1954</c:v>
                </c:pt>
                <c:pt idx="7">
                  <c:v>1955</c:v>
                </c:pt>
                <c:pt idx="8">
                  <c:v>1956</c:v>
                </c:pt>
                <c:pt idx="9">
                  <c:v>1957</c:v>
                </c:pt>
                <c:pt idx="10">
                  <c:v>1958</c:v>
                </c:pt>
                <c:pt idx="11">
                  <c:v>1959</c:v>
                </c:pt>
                <c:pt idx="12">
                  <c:v>1960</c:v>
                </c:pt>
                <c:pt idx="13">
                  <c:v>1961</c:v>
                </c:pt>
                <c:pt idx="14">
                  <c:v>1962</c:v>
                </c:pt>
                <c:pt idx="15">
                  <c:v>1963</c:v>
                </c:pt>
                <c:pt idx="16">
                  <c:v>1964</c:v>
                </c:pt>
                <c:pt idx="17">
                  <c:v>1965</c:v>
                </c:pt>
                <c:pt idx="18">
                  <c:v>1966</c:v>
                </c:pt>
                <c:pt idx="19">
                  <c:v>1967</c:v>
                </c:pt>
                <c:pt idx="20">
                  <c:v>1968</c:v>
                </c:pt>
                <c:pt idx="21">
                  <c:v>1969</c:v>
                </c:pt>
                <c:pt idx="22">
                  <c:v>1970</c:v>
                </c:pt>
                <c:pt idx="23">
                  <c:v>1971</c:v>
                </c:pt>
                <c:pt idx="24">
                  <c:v>1972</c:v>
                </c:pt>
                <c:pt idx="25">
                  <c:v>1973</c:v>
                </c:pt>
                <c:pt idx="26">
                  <c:v>1974</c:v>
                </c:pt>
                <c:pt idx="27">
                  <c:v>1975</c:v>
                </c:pt>
                <c:pt idx="28">
                  <c:v>1976</c:v>
                </c:pt>
                <c:pt idx="29">
                  <c:v>1977</c:v>
                </c:pt>
                <c:pt idx="30">
                  <c:v>1978</c:v>
                </c:pt>
                <c:pt idx="31">
                  <c:v>1979</c:v>
                </c:pt>
                <c:pt idx="32">
                  <c:v>1980</c:v>
                </c:pt>
                <c:pt idx="33">
                  <c:v>1981</c:v>
                </c:pt>
                <c:pt idx="34">
                  <c:v>1982</c:v>
                </c:pt>
                <c:pt idx="35">
                  <c:v>1983</c:v>
                </c:pt>
                <c:pt idx="36">
                  <c:v>1984</c:v>
                </c:pt>
                <c:pt idx="37">
                  <c:v>1985</c:v>
                </c:pt>
                <c:pt idx="38">
                  <c:v>1986</c:v>
                </c:pt>
                <c:pt idx="39">
                  <c:v>1987</c:v>
                </c:pt>
                <c:pt idx="40">
                  <c:v>1988</c:v>
                </c:pt>
                <c:pt idx="41">
                  <c:v>1989</c:v>
                </c:pt>
                <c:pt idx="42">
                  <c:v>1990</c:v>
                </c:pt>
                <c:pt idx="43">
                  <c:v>1991</c:v>
                </c:pt>
                <c:pt idx="44">
                  <c:v>1992</c:v>
                </c:pt>
                <c:pt idx="45">
                  <c:v>1993</c:v>
                </c:pt>
                <c:pt idx="46">
                  <c:v>1994</c:v>
                </c:pt>
                <c:pt idx="47">
                  <c:v>1995</c:v>
                </c:pt>
                <c:pt idx="48">
                  <c:v>1996</c:v>
                </c:pt>
                <c:pt idx="49">
                  <c:v>1997</c:v>
                </c:pt>
                <c:pt idx="50">
                  <c:v>1998</c:v>
                </c:pt>
                <c:pt idx="51">
                  <c:v>1999</c:v>
                </c:pt>
                <c:pt idx="52">
                  <c:v>2000</c:v>
                </c:pt>
                <c:pt idx="53">
                  <c:v>2001</c:v>
                </c:pt>
                <c:pt idx="54">
                  <c:v>2002</c:v>
                </c:pt>
                <c:pt idx="55">
                  <c:v>2003</c:v>
                </c:pt>
                <c:pt idx="56">
                  <c:v>2004</c:v>
                </c:pt>
                <c:pt idx="57">
                  <c:v>2005</c:v>
                </c:pt>
                <c:pt idx="58">
                  <c:v>2006</c:v>
                </c:pt>
                <c:pt idx="59">
                  <c:v>2007</c:v>
                </c:pt>
                <c:pt idx="60">
                  <c:v>2008</c:v>
                </c:pt>
                <c:pt idx="61">
                  <c:v>2009</c:v>
                </c:pt>
                <c:pt idx="62">
                  <c:v>2010</c:v>
                </c:pt>
                <c:pt idx="63">
                  <c:v>2011</c:v>
                </c:pt>
                <c:pt idx="64">
                  <c:v>2012</c:v>
                </c:pt>
                <c:pt idx="65">
                  <c:v>2013</c:v>
                </c:pt>
                <c:pt idx="66" formatCode="General">
                  <c:v>2014</c:v>
                </c:pt>
                <c:pt idx="67" formatCode="General">
                  <c:v>2015</c:v>
                </c:pt>
                <c:pt idx="68" formatCode="General">
                  <c:v>2016</c:v>
                </c:pt>
                <c:pt idx="69" formatCode="General">
                  <c:v>2017</c:v>
                </c:pt>
              </c:numCache>
            </c:numRef>
          </c:cat>
          <c:val>
            <c:numRef>
              <c:f>'[grafikoni za vakcinabilne do 2017-za Josipa.xlsx]radne tabele'!$F$15:$BW$15</c:f>
              <c:numCache>
                <c:formatCode>General</c:formatCode>
                <c:ptCount val="70"/>
                <c:pt idx="12" formatCode="0%">
                  <c:v>0.77624318743441323</c:v>
                </c:pt>
                <c:pt idx="13" formatCode="0%">
                  <c:v>0.76080508474576269</c:v>
                </c:pt>
                <c:pt idx="14" formatCode="0%">
                  <c:v>0.8590100244616049</c:v>
                </c:pt>
                <c:pt idx="15" formatCode="0%">
                  <c:v>0.83374595315178057</c:v>
                </c:pt>
                <c:pt idx="16" formatCode="0%">
                  <c:v>0.85822354638983289</c:v>
                </c:pt>
                <c:pt idx="17" formatCode="0%">
                  <c:v>0.77467953334293538</c:v>
                </c:pt>
                <c:pt idx="18" formatCode="0%">
                  <c:v>0.798085505863523</c:v>
                </c:pt>
                <c:pt idx="19" formatCode="0%">
                  <c:v>0.28968354201999064</c:v>
                </c:pt>
                <c:pt idx="20" formatCode="0%">
                  <c:v>0.8737060041407867</c:v>
                </c:pt>
                <c:pt idx="21" formatCode="0%">
                  <c:v>0.86209674820329374</c:v>
                </c:pt>
                <c:pt idx="22" formatCode="0%">
                  <c:v>0.86755069597921752</c:v>
                </c:pt>
                <c:pt idx="23" formatCode="0%">
                  <c:v>0.88427833121114519</c:v>
                </c:pt>
                <c:pt idx="24" formatCode="0%">
                  <c:v>0.88942909760589317</c:v>
                </c:pt>
                <c:pt idx="25" formatCode="0%">
                  <c:v>0.89438931297709923</c:v>
                </c:pt>
                <c:pt idx="26" formatCode="0%">
                  <c:v>0.91214924688431842</c:v>
                </c:pt>
                <c:pt idx="27" formatCode="0%">
                  <c:v>0.88241809282218009</c:v>
                </c:pt>
                <c:pt idx="28" formatCode="0%">
                  <c:v>0.90570701563067979</c:v>
                </c:pt>
                <c:pt idx="29" formatCode="0%">
                  <c:v>0.89514300113392975</c:v>
                </c:pt>
                <c:pt idx="30" formatCode="0%">
                  <c:v>0.8811331676257278</c:v>
                </c:pt>
                <c:pt idx="31" formatCode="0%">
                  <c:v>0.93511195472600095</c:v>
                </c:pt>
                <c:pt idx="32" formatCode="0%">
                  <c:v>0.9001074113856069</c:v>
                </c:pt>
                <c:pt idx="33" formatCode="0%">
                  <c:v>0.88916850875701414</c:v>
                </c:pt>
                <c:pt idx="34" formatCode="0%">
                  <c:v>0.89680079155672821</c:v>
                </c:pt>
                <c:pt idx="35" formatCode="0%">
                  <c:v>0.89876088541067245</c:v>
                </c:pt>
                <c:pt idx="36" formatCode="0%">
                  <c:v>0.90901009813682265</c:v>
                </c:pt>
                <c:pt idx="37" formatCode="0%">
                  <c:v>0.89662104966139955</c:v>
                </c:pt>
                <c:pt idx="38" formatCode="0%">
                  <c:v>0.91636977311081946</c:v>
                </c:pt>
                <c:pt idx="39" formatCode="0%">
                  <c:v>0.91527244819646969</c:v>
                </c:pt>
                <c:pt idx="40" formatCode="0%">
                  <c:v>0.91221698477706514</c:v>
                </c:pt>
                <c:pt idx="41" formatCode="0%">
                  <c:v>0.93360796704395477</c:v>
                </c:pt>
                <c:pt idx="42" formatCode="0%">
                  <c:v>0.94597569753164823</c:v>
                </c:pt>
                <c:pt idx="43" formatCode="0%">
                  <c:v>0.94871234314197017</c:v>
                </c:pt>
                <c:pt idx="44" formatCode="0%">
                  <c:v>0.95771551896407014</c:v>
                </c:pt>
                <c:pt idx="45" formatCode="0%">
                  <c:v>0.95930650377290694</c:v>
                </c:pt>
                <c:pt idx="46" formatCode="0%">
                  <c:v>0.94336785833611758</c:v>
                </c:pt>
                <c:pt idx="47" formatCode="0%">
                  <c:v>0.94757194244604315</c:v>
                </c:pt>
                <c:pt idx="48" formatCode="0%">
                  <c:v>0.95913591359135919</c:v>
                </c:pt>
                <c:pt idx="49" formatCode="0%">
                  <c:v>0.96222794289726188</c:v>
                </c:pt>
                <c:pt idx="50" formatCode="0%">
                  <c:v>0.96533769711395423</c:v>
                </c:pt>
                <c:pt idx="51" formatCode="0%">
                  <c:v>0.97354415336123601</c:v>
                </c:pt>
                <c:pt idx="52" formatCode="0%">
                  <c:v>0.97482014388489213</c:v>
                </c:pt>
                <c:pt idx="53" formatCode="0%">
                  <c:v>0.97544440292531898</c:v>
                </c:pt>
                <c:pt idx="54" formatCode="0%">
                  <c:v>0.97824605545945376</c:v>
                </c:pt>
                <c:pt idx="55" formatCode="0%">
                  <c:v>0.98048656867714146</c:v>
                </c:pt>
                <c:pt idx="56" formatCode="0%">
                  <c:v>0.97867335737807748</c:v>
                </c:pt>
                <c:pt idx="57" formatCode="0%">
                  <c:v>0.97627136092238009</c:v>
                </c:pt>
                <c:pt idx="58" formatCode="0%">
                  <c:v>0.95754226623625316</c:v>
                </c:pt>
                <c:pt idx="59" formatCode="0%">
                  <c:v>0.97738747448705554</c:v>
                </c:pt>
                <c:pt idx="60" formatCode="0%">
                  <c:v>0.97409297985619403</c:v>
                </c:pt>
                <c:pt idx="61" formatCode="0%">
                  <c:v>0.97</c:v>
                </c:pt>
                <c:pt idx="62" formatCode="0%">
                  <c:v>0.97499999999999998</c:v>
                </c:pt>
                <c:pt idx="63" formatCode="0%">
                  <c:v>0.97199999999999998</c:v>
                </c:pt>
                <c:pt idx="64" formatCode="0%">
                  <c:v>0.95950000000000002</c:v>
                </c:pt>
                <c:pt idx="65" formatCode="0%">
                  <c:v>0.97</c:v>
                </c:pt>
                <c:pt idx="66" formatCode="0%">
                  <c:v>0.96</c:v>
                </c:pt>
                <c:pt idx="67" formatCode="0%">
                  <c:v>0.96099999999999997</c:v>
                </c:pt>
                <c:pt idx="68" formatCode="0%">
                  <c:v>0.96099999999999997</c:v>
                </c:pt>
                <c:pt idx="69" formatCode="0%">
                  <c:v>0.95</c:v>
                </c:pt>
              </c:numCache>
            </c:numRef>
          </c:val>
          <c:smooth val="1"/>
          <c:extLst xmlns:c16r2="http://schemas.microsoft.com/office/drawing/2015/06/chart">
            <c:ext xmlns:c16="http://schemas.microsoft.com/office/drawing/2014/chart" uri="{C3380CC4-5D6E-409C-BE32-E72D297353CC}">
              <c16:uniqueId val="{00000001-9DB3-4260-ACC8-153D557A80BC}"/>
            </c:ext>
          </c:extLst>
        </c:ser>
        <c:dLbls>
          <c:showLegendKey val="0"/>
          <c:showVal val="0"/>
          <c:showCatName val="0"/>
          <c:showSerName val="0"/>
          <c:showPercent val="0"/>
          <c:showBubbleSize val="0"/>
        </c:dLbls>
        <c:marker val="1"/>
        <c:smooth val="0"/>
        <c:axId val="296254328"/>
        <c:axId val="296253936"/>
      </c:lineChart>
      <c:catAx>
        <c:axId val="296253152"/>
        <c:scaling>
          <c:orientation val="minMax"/>
        </c:scaling>
        <c:delete val="0"/>
        <c:axPos val="b"/>
        <c:numFmt formatCode="0" sourceLinked="1"/>
        <c:majorTickMark val="out"/>
        <c:minorTickMark val="none"/>
        <c:tickLblPos val="nextTo"/>
        <c:txPr>
          <a:bodyPr rot="-5400000" vert="horz"/>
          <a:lstStyle/>
          <a:p>
            <a:pPr>
              <a:defRPr/>
            </a:pPr>
            <a:endParaRPr lang="en-US"/>
          </a:p>
        </c:txPr>
        <c:crossAx val="296253544"/>
        <c:crosses val="autoZero"/>
        <c:auto val="1"/>
        <c:lblAlgn val="ctr"/>
        <c:lblOffset val="100"/>
        <c:noMultiLvlLbl val="0"/>
      </c:catAx>
      <c:valAx>
        <c:axId val="296253544"/>
        <c:scaling>
          <c:orientation val="minMax"/>
          <c:max val="300"/>
          <c:min val="0"/>
        </c:scaling>
        <c:delete val="0"/>
        <c:axPos val="l"/>
        <c:majorGridlines/>
        <c:numFmt formatCode="0.00" sourceLinked="1"/>
        <c:majorTickMark val="out"/>
        <c:minorTickMark val="none"/>
        <c:tickLblPos val="nextTo"/>
        <c:crossAx val="296253152"/>
        <c:crosses val="autoZero"/>
        <c:crossBetween val="between"/>
      </c:valAx>
      <c:valAx>
        <c:axId val="296253936"/>
        <c:scaling>
          <c:orientation val="minMax"/>
          <c:max val="1"/>
          <c:min val="0"/>
        </c:scaling>
        <c:delete val="0"/>
        <c:axPos val="r"/>
        <c:numFmt formatCode="0.00%" sourceLinked="0"/>
        <c:majorTickMark val="out"/>
        <c:minorTickMark val="none"/>
        <c:tickLblPos val="nextTo"/>
        <c:crossAx val="296254328"/>
        <c:crosses val="max"/>
        <c:crossBetween val="between"/>
      </c:valAx>
      <c:catAx>
        <c:axId val="296254328"/>
        <c:scaling>
          <c:orientation val="minMax"/>
        </c:scaling>
        <c:delete val="1"/>
        <c:axPos val="b"/>
        <c:numFmt formatCode="0" sourceLinked="1"/>
        <c:majorTickMark val="out"/>
        <c:minorTickMark val="none"/>
        <c:tickLblPos val="none"/>
        <c:crossAx val="296253936"/>
        <c:crosses val="autoZero"/>
        <c:auto val="1"/>
        <c:lblAlgn val="ctr"/>
        <c:lblOffset val="100"/>
        <c:noMultiLvlLbl val="0"/>
      </c:catAx>
    </c:plotArea>
    <c:plotVisOnly val="1"/>
    <c:dispBlanksAs val="gap"/>
    <c:showDLblsOverMax val="0"/>
  </c:chart>
  <c:spPr>
    <a:noFill/>
    <a:ln>
      <a:noFill/>
    </a:ln>
  </c:sp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1"/>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475473725524999"/>
          <c:y val="4.5381502281838113E-2"/>
          <c:w val="0.8538157887028921"/>
          <c:h val="0.82428105356818249"/>
        </c:manualLayout>
      </c:layout>
      <c:lineChart>
        <c:grouping val="standard"/>
        <c:varyColors val="1"/>
        <c:ser>
          <c:idx val="0"/>
          <c:order val="0"/>
          <c:tx>
            <c:strRef>
              <c:f>MORBIDITET!$B$104</c:f>
              <c:strCache>
                <c:ptCount val="1"/>
                <c:pt idx="0">
                  <c:v>Trichinellosis  </c:v>
                </c:pt>
              </c:strCache>
            </c:strRef>
          </c:tx>
          <c:marker>
            <c:symbol val="none"/>
          </c:marker>
          <c:dPt>
            <c:idx val="0"/>
            <c:bubble3D val="0"/>
            <c:spPr>
              <a:ln w="28575" cap="rnd">
                <a:solidFill>
                  <a:schemeClr val="accent1">
                    <a:shade val="33000"/>
                  </a:schemeClr>
                </a:solidFill>
                <a:round/>
              </a:ln>
              <a:effectLst/>
            </c:spPr>
            <c:extLst xmlns:c16r2="http://schemas.microsoft.com/office/drawing/2015/06/chart">
              <c:ext xmlns:c16="http://schemas.microsoft.com/office/drawing/2014/chart" uri="{C3380CC4-5D6E-409C-BE32-E72D297353CC}">
                <c16:uniqueId val="{00000001-1AB6-45B0-A596-BAE7AAA5DEBF}"/>
              </c:ext>
            </c:extLst>
          </c:dPt>
          <c:dPt>
            <c:idx val="1"/>
            <c:bubble3D val="0"/>
            <c:spPr>
              <a:ln w="28575" cap="rnd">
                <a:solidFill>
                  <a:schemeClr val="accent1">
                    <a:shade val="37000"/>
                  </a:schemeClr>
                </a:solidFill>
                <a:round/>
              </a:ln>
              <a:effectLst/>
            </c:spPr>
            <c:extLst xmlns:c16r2="http://schemas.microsoft.com/office/drawing/2015/06/chart">
              <c:ext xmlns:c16="http://schemas.microsoft.com/office/drawing/2014/chart" uri="{C3380CC4-5D6E-409C-BE32-E72D297353CC}">
                <c16:uniqueId val="{00000003-1AB6-45B0-A596-BAE7AAA5DEBF}"/>
              </c:ext>
            </c:extLst>
          </c:dPt>
          <c:dPt>
            <c:idx val="2"/>
            <c:bubble3D val="0"/>
            <c:spPr>
              <a:ln w="28575" cap="rnd">
                <a:solidFill>
                  <a:schemeClr val="accent1">
                    <a:shade val="40000"/>
                  </a:schemeClr>
                </a:solidFill>
                <a:round/>
              </a:ln>
              <a:effectLst/>
            </c:spPr>
            <c:extLst xmlns:c16r2="http://schemas.microsoft.com/office/drawing/2015/06/chart">
              <c:ext xmlns:c16="http://schemas.microsoft.com/office/drawing/2014/chart" uri="{C3380CC4-5D6E-409C-BE32-E72D297353CC}">
                <c16:uniqueId val="{00000005-1AB6-45B0-A596-BAE7AAA5DEBF}"/>
              </c:ext>
            </c:extLst>
          </c:dPt>
          <c:dPt>
            <c:idx val="3"/>
            <c:bubble3D val="0"/>
            <c:spPr>
              <a:ln w="28575" cap="rnd">
                <a:solidFill>
                  <a:schemeClr val="accent1">
                    <a:shade val="44000"/>
                  </a:schemeClr>
                </a:solidFill>
                <a:round/>
              </a:ln>
              <a:effectLst/>
            </c:spPr>
            <c:extLst xmlns:c16r2="http://schemas.microsoft.com/office/drawing/2015/06/chart">
              <c:ext xmlns:c16="http://schemas.microsoft.com/office/drawing/2014/chart" uri="{C3380CC4-5D6E-409C-BE32-E72D297353CC}">
                <c16:uniqueId val="{00000007-1AB6-45B0-A596-BAE7AAA5DEBF}"/>
              </c:ext>
            </c:extLst>
          </c:dPt>
          <c:dPt>
            <c:idx val="4"/>
            <c:bubble3D val="0"/>
            <c:spPr>
              <a:ln w="28575" cap="rnd">
                <a:solidFill>
                  <a:schemeClr val="accent1">
                    <a:shade val="47000"/>
                  </a:schemeClr>
                </a:solidFill>
                <a:round/>
              </a:ln>
              <a:effectLst/>
            </c:spPr>
            <c:extLst xmlns:c16r2="http://schemas.microsoft.com/office/drawing/2015/06/chart">
              <c:ext xmlns:c16="http://schemas.microsoft.com/office/drawing/2014/chart" uri="{C3380CC4-5D6E-409C-BE32-E72D297353CC}">
                <c16:uniqueId val="{00000009-1AB6-45B0-A596-BAE7AAA5DEBF}"/>
              </c:ext>
            </c:extLst>
          </c:dPt>
          <c:dPt>
            <c:idx val="5"/>
            <c:bubble3D val="0"/>
            <c:spPr>
              <a:ln w="28575" cap="rnd">
                <a:solidFill>
                  <a:schemeClr val="accent1">
                    <a:shade val="51000"/>
                  </a:schemeClr>
                </a:solidFill>
                <a:round/>
              </a:ln>
              <a:effectLst/>
            </c:spPr>
            <c:extLst xmlns:c16r2="http://schemas.microsoft.com/office/drawing/2015/06/chart">
              <c:ext xmlns:c16="http://schemas.microsoft.com/office/drawing/2014/chart" uri="{C3380CC4-5D6E-409C-BE32-E72D297353CC}">
                <c16:uniqueId val="{0000000B-1AB6-45B0-A596-BAE7AAA5DEBF}"/>
              </c:ext>
            </c:extLst>
          </c:dPt>
          <c:dPt>
            <c:idx val="6"/>
            <c:bubble3D val="0"/>
            <c:spPr>
              <a:ln w="28575" cap="rnd">
                <a:solidFill>
                  <a:schemeClr val="accent1">
                    <a:shade val="55000"/>
                  </a:schemeClr>
                </a:solidFill>
                <a:round/>
              </a:ln>
              <a:effectLst/>
            </c:spPr>
            <c:extLst xmlns:c16r2="http://schemas.microsoft.com/office/drawing/2015/06/chart">
              <c:ext xmlns:c16="http://schemas.microsoft.com/office/drawing/2014/chart" uri="{C3380CC4-5D6E-409C-BE32-E72D297353CC}">
                <c16:uniqueId val="{0000000D-1AB6-45B0-A596-BAE7AAA5DEBF}"/>
              </c:ext>
            </c:extLst>
          </c:dPt>
          <c:dPt>
            <c:idx val="7"/>
            <c:bubble3D val="0"/>
            <c:spPr>
              <a:ln w="28575" cap="rnd">
                <a:solidFill>
                  <a:schemeClr val="accent1">
                    <a:shade val="58000"/>
                  </a:schemeClr>
                </a:solidFill>
                <a:round/>
              </a:ln>
              <a:effectLst/>
            </c:spPr>
            <c:extLst xmlns:c16r2="http://schemas.microsoft.com/office/drawing/2015/06/chart">
              <c:ext xmlns:c16="http://schemas.microsoft.com/office/drawing/2014/chart" uri="{C3380CC4-5D6E-409C-BE32-E72D297353CC}">
                <c16:uniqueId val="{0000000F-1AB6-45B0-A596-BAE7AAA5DEBF}"/>
              </c:ext>
            </c:extLst>
          </c:dPt>
          <c:dPt>
            <c:idx val="8"/>
            <c:bubble3D val="0"/>
            <c:spPr>
              <a:ln w="28575" cap="rnd">
                <a:solidFill>
                  <a:schemeClr val="accent1">
                    <a:shade val="62000"/>
                  </a:schemeClr>
                </a:solidFill>
                <a:round/>
              </a:ln>
              <a:effectLst/>
            </c:spPr>
            <c:extLst xmlns:c16r2="http://schemas.microsoft.com/office/drawing/2015/06/chart">
              <c:ext xmlns:c16="http://schemas.microsoft.com/office/drawing/2014/chart" uri="{C3380CC4-5D6E-409C-BE32-E72D297353CC}">
                <c16:uniqueId val="{00000011-1AB6-45B0-A596-BAE7AAA5DEBF}"/>
              </c:ext>
            </c:extLst>
          </c:dPt>
          <c:dPt>
            <c:idx val="9"/>
            <c:bubble3D val="0"/>
            <c:spPr>
              <a:ln w="28575" cap="rnd">
                <a:solidFill>
                  <a:schemeClr val="accent1">
                    <a:shade val="65000"/>
                  </a:schemeClr>
                </a:solidFill>
                <a:round/>
              </a:ln>
              <a:effectLst/>
            </c:spPr>
            <c:extLst xmlns:c16r2="http://schemas.microsoft.com/office/drawing/2015/06/chart">
              <c:ext xmlns:c16="http://schemas.microsoft.com/office/drawing/2014/chart" uri="{C3380CC4-5D6E-409C-BE32-E72D297353CC}">
                <c16:uniqueId val="{00000013-1AB6-45B0-A596-BAE7AAA5DEBF}"/>
              </c:ext>
            </c:extLst>
          </c:dPt>
          <c:dPt>
            <c:idx val="10"/>
            <c:bubble3D val="0"/>
            <c:spPr>
              <a:ln w="28575" cap="rnd">
                <a:solidFill>
                  <a:schemeClr val="accent1">
                    <a:shade val="69000"/>
                  </a:schemeClr>
                </a:solidFill>
                <a:round/>
              </a:ln>
              <a:effectLst/>
            </c:spPr>
            <c:extLst xmlns:c16r2="http://schemas.microsoft.com/office/drawing/2015/06/chart">
              <c:ext xmlns:c16="http://schemas.microsoft.com/office/drawing/2014/chart" uri="{C3380CC4-5D6E-409C-BE32-E72D297353CC}">
                <c16:uniqueId val="{00000015-1AB6-45B0-A596-BAE7AAA5DEBF}"/>
              </c:ext>
            </c:extLst>
          </c:dPt>
          <c:dPt>
            <c:idx val="11"/>
            <c:bubble3D val="0"/>
            <c:spPr>
              <a:ln w="28575" cap="rnd">
                <a:solidFill>
                  <a:schemeClr val="accent1">
                    <a:shade val="73000"/>
                  </a:schemeClr>
                </a:solidFill>
                <a:round/>
              </a:ln>
              <a:effectLst/>
            </c:spPr>
            <c:extLst xmlns:c16r2="http://schemas.microsoft.com/office/drawing/2015/06/chart">
              <c:ext xmlns:c16="http://schemas.microsoft.com/office/drawing/2014/chart" uri="{C3380CC4-5D6E-409C-BE32-E72D297353CC}">
                <c16:uniqueId val="{00000017-1AB6-45B0-A596-BAE7AAA5DEBF}"/>
              </c:ext>
            </c:extLst>
          </c:dPt>
          <c:dPt>
            <c:idx val="12"/>
            <c:bubble3D val="0"/>
            <c:spPr>
              <a:ln w="28575" cap="rnd">
                <a:solidFill>
                  <a:schemeClr val="accent1">
                    <a:shade val="76000"/>
                  </a:schemeClr>
                </a:solidFill>
                <a:round/>
              </a:ln>
              <a:effectLst/>
            </c:spPr>
            <c:extLst xmlns:c16r2="http://schemas.microsoft.com/office/drawing/2015/06/chart">
              <c:ext xmlns:c16="http://schemas.microsoft.com/office/drawing/2014/chart" uri="{C3380CC4-5D6E-409C-BE32-E72D297353CC}">
                <c16:uniqueId val="{00000019-1AB6-45B0-A596-BAE7AAA5DEBF}"/>
              </c:ext>
            </c:extLst>
          </c:dPt>
          <c:dPt>
            <c:idx val="13"/>
            <c:bubble3D val="0"/>
            <c:spPr>
              <a:ln w="28575" cap="rnd">
                <a:solidFill>
                  <a:schemeClr val="accent1">
                    <a:shade val="80000"/>
                  </a:schemeClr>
                </a:solidFill>
                <a:round/>
              </a:ln>
              <a:effectLst/>
            </c:spPr>
            <c:extLst xmlns:c16r2="http://schemas.microsoft.com/office/drawing/2015/06/chart">
              <c:ext xmlns:c16="http://schemas.microsoft.com/office/drawing/2014/chart" uri="{C3380CC4-5D6E-409C-BE32-E72D297353CC}">
                <c16:uniqueId val="{0000001B-1AB6-45B0-A596-BAE7AAA5DEBF}"/>
              </c:ext>
            </c:extLst>
          </c:dPt>
          <c:dPt>
            <c:idx val="14"/>
            <c:bubble3D val="0"/>
            <c:spPr>
              <a:ln w="28575" cap="rnd">
                <a:solidFill>
                  <a:schemeClr val="accent1">
                    <a:shade val="83000"/>
                  </a:schemeClr>
                </a:solidFill>
                <a:round/>
              </a:ln>
              <a:effectLst/>
            </c:spPr>
            <c:extLst xmlns:c16r2="http://schemas.microsoft.com/office/drawing/2015/06/chart">
              <c:ext xmlns:c16="http://schemas.microsoft.com/office/drawing/2014/chart" uri="{C3380CC4-5D6E-409C-BE32-E72D297353CC}">
                <c16:uniqueId val="{0000001D-1AB6-45B0-A596-BAE7AAA5DEBF}"/>
              </c:ext>
            </c:extLst>
          </c:dPt>
          <c:dPt>
            <c:idx val="15"/>
            <c:bubble3D val="0"/>
            <c:spPr>
              <a:ln w="28575" cap="rnd">
                <a:solidFill>
                  <a:schemeClr val="accent1">
                    <a:shade val="87000"/>
                  </a:schemeClr>
                </a:solidFill>
                <a:round/>
              </a:ln>
              <a:effectLst/>
            </c:spPr>
            <c:extLst xmlns:c16r2="http://schemas.microsoft.com/office/drawing/2015/06/chart">
              <c:ext xmlns:c16="http://schemas.microsoft.com/office/drawing/2014/chart" uri="{C3380CC4-5D6E-409C-BE32-E72D297353CC}">
                <c16:uniqueId val="{0000001F-1AB6-45B0-A596-BAE7AAA5DEBF}"/>
              </c:ext>
            </c:extLst>
          </c:dPt>
          <c:dPt>
            <c:idx val="16"/>
            <c:bubble3D val="0"/>
            <c:spPr>
              <a:ln w="28575" cap="rnd">
                <a:solidFill>
                  <a:schemeClr val="accent1">
                    <a:shade val="91000"/>
                  </a:schemeClr>
                </a:solidFill>
                <a:round/>
              </a:ln>
              <a:effectLst/>
            </c:spPr>
            <c:extLst xmlns:c16r2="http://schemas.microsoft.com/office/drawing/2015/06/chart">
              <c:ext xmlns:c16="http://schemas.microsoft.com/office/drawing/2014/chart" uri="{C3380CC4-5D6E-409C-BE32-E72D297353CC}">
                <c16:uniqueId val="{00000021-1AB6-45B0-A596-BAE7AAA5DEBF}"/>
              </c:ext>
            </c:extLst>
          </c:dPt>
          <c:dPt>
            <c:idx val="17"/>
            <c:bubble3D val="0"/>
            <c:spPr>
              <a:ln w="28575" cap="rnd">
                <a:solidFill>
                  <a:schemeClr val="accent1">
                    <a:shade val="94000"/>
                  </a:schemeClr>
                </a:solidFill>
                <a:round/>
              </a:ln>
              <a:effectLst/>
            </c:spPr>
            <c:extLst xmlns:c16r2="http://schemas.microsoft.com/office/drawing/2015/06/chart">
              <c:ext xmlns:c16="http://schemas.microsoft.com/office/drawing/2014/chart" uri="{C3380CC4-5D6E-409C-BE32-E72D297353CC}">
                <c16:uniqueId val="{00000023-1AB6-45B0-A596-BAE7AAA5DEBF}"/>
              </c:ext>
            </c:extLst>
          </c:dPt>
          <c:dPt>
            <c:idx val="18"/>
            <c:bubble3D val="0"/>
            <c:spPr>
              <a:ln w="28575" cap="rnd">
                <a:solidFill>
                  <a:schemeClr val="accent1">
                    <a:shade val="98000"/>
                  </a:schemeClr>
                </a:solidFill>
                <a:round/>
              </a:ln>
              <a:effectLst/>
            </c:spPr>
            <c:extLst xmlns:c16r2="http://schemas.microsoft.com/office/drawing/2015/06/chart">
              <c:ext xmlns:c16="http://schemas.microsoft.com/office/drawing/2014/chart" uri="{C3380CC4-5D6E-409C-BE32-E72D297353CC}">
                <c16:uniqueId val="{00000025-1AB6-45B0-A596-BAE7AAA5DEBF}"/>
              </c:ext>
            </c:extLst>
          </c:dPt>
          <c:dPt>
            <c:idx val="19"/>
            <c:bubble3D val="0"/>
            <c:spPr>
              <a:ln w="28575" cap="rnd">
                <a:solidFill>
                  <a:schemeClr val="accent1">
                    <a:tint val="99000"/>
                  </a:schemeClr>
                </a:solidFill>
                <a:round/>
              </a:ln>
              <a:effectLst/>
            </c:spPr>
            <c:extLst xmlns:c16r2="http://schemas.microsoft.com/office/drawing/2015/06/chart">
              <c:ext xmlns:c16="http://schemas.microsoft.com/office/drawing/2014/chart" uri="{C3380CC4-5D6E-409C-BE32-E72D297353CC}">
                <c16:uniqueId val="{00000027-1AB6-45B0-A596-BAE7AAA5DEBF}"/>
              </c:ext>
            </c:extLst>
          </c:dPt>
          <c:dPt>
            <c:idx val="20"/>
            <c:bubble3D val="0"/>
            <c:spPr>
              <a:ln w="28575" cap="rnd">
                <a:solidFill>
                  <a:schemeClr val="accent1">
                    <a:tint val="95000"/>
                  </a:schemeClr>
                </a:solidFill>
                <a:round/>
              </a:ln>
              <a:effectLst/>
            </c:spPr>
            <c:extLst xmlns:c16r2="http://schemas.microsoft.com/office/drawing/2015/06/chart">
              <c:ext xmlns:c16="http://schemas.microsoft.com/office/drawing/2014/chart" uri="{C3380CC4-5D6E-409C-BE32-E72D297353CC}">
                <c16:uniqueId val="{00000029-1AB6-45B0-A596-BAE7AAA5DEBF}"/>
              </c:ext>
            </c:extLst>
          </c:dPt>
          <c:dPt>
            <c:idx val="21"/>
            <c:bubble3D val="0"/>
            <c:spPr>
              <a:ln w="28575" cap="rnd">
                <a:solidFill>
                  <a:schemeClr val="accent1">
                    <a:tint val="92000"/>
                  </a:schemeClr>
                </a:solidFill>
                <a:round/>
              </a:ln>
              <a:effectLst/>
            </c:spPr>
            <c:extLst xmlns:c16r2="http://schemas.microsoft.com/office/drawing/2015/06/chart">
              <c:ext xmlns:c16="http://schemas.microsoft.com/office/drawing/2014/chart" uri="{C3380CC4-5D6E-409C-BE32-E72D297353CC}">
                <c16:uniqueId val="{0000002B-1AB6-45B0-A596-BAE7AAA5DEBF}"/>
              </c:ext>
            </c:extLst>
          </c:dPt>
          <c:dPt>
            <c:idx val="22"/>
            <c:bubble3D val="0"/>
            <c:spPr>
              <a:ln w="28575" cap="rnd">
                <a:solidFill>
                  <a:schemeClr val="accent1">
                    <a:tint val="88000"/>
                  </a:schemeClr>
                </a:solidFill>
                <a:round/>
              </a:ln>
              <a:effectLst/>
            </c:spPr>
            <c:extLst xmlns:c16r2="http://schemas.microsoft.com/office/drawing/2015/06/chart">
              <c:ext xmlns:c16="http://schemas.microsoft.com/office/drawing/2014/chart" uri="{C3380CC4-5D6E-409C-BE32-E72D297353CC}">
                <c16:uniqueId val="{0000002D-1AB6-45B0-A596-BAE7AAA5DEBF}"/>
              </c:ext>
            </c:extLst>
          </c:dPt>
          <c:dPt>
            <c:idx val="23"/>
            <c:bubble3D val="0"/>
            <c:spPr>
              <a:ln w="28575" cap="rnd">
                <a:solidFill>
                  <a:schemeClr val="accent1">
                    <a:tint val="84000"/>
                  </a:schemeClr>
                </a:solidFill>
                <a:round/>
              </a:ln>
              <a:effectLst/>
            </c:spPr>
            <c:extLst xmlns:c16r2="http://schemas.microsoft.com/office/drawing/2015/06/chart">
              <c:ext xmlns:c16="http://schemas.microsoft.com/office/drawing/2014/chart" uri="{C3380CC4-5D6E-409C-BE32-E72D297353CC}">
                <c16:uniqueId val="{0000002F-1AB6-45B0-A596-BAE7AAA5DEBF}"/>
              </c:ext>
            </c:extLst>
          </c:dPt>
          <c:dPt>
            <c:idx val="24"/>
            <c:bubble3D val="0"/>
            <c:spPr>
              <a:ln w="28575" cap="rnd">
                <a:solidFill>
                  <a:schemeClr val="accent1">
                    <a:tint val="81000"/>
                  </a:schemeClr>
                </a:solidFill>
                <a:round/>
              </a:ln>
              <a:effectLst/>
            </c:spPr>
            <c:extLst xmlns:c16r2="http://schemas.microsoft.com/office/drawing/2015/06/chart">
              <c:ext xmlns:c16="http://schemas.microsoft.com/office/drawing/2014/chart" uri="{C3380CC4-5D6E-409C-BE32-E72D297353CC}">
                <c16:uniqueId val="{00000031-1AB6-45B0-A596-BAE7AAA5DEBF}"/>
              </c:ext>
            </c:extLst>
          </c:dPt>
          <c:dPt>
            <c:idx val="25"/>
            <c:bubble3D val="0"/>
            <c:spPr>
              <a:ln w="28575" cap="rnd">
                <a:solidFill>
                  <a:schemeClr val="accent1">
                    <a:tint val="77000"/>
                  </a:schemeClr>
                </a:solidFill>
                <a:round/>
              </a:ln>
              <a:effectLst/>
            </c:spPr>
            <c:extLst xmlns:c16r2="http://schemas.microsoft.com/office/drawing/2015/06/chart">
              <c:ext xmlns:c16="http://schemas.microsoft.com/office/drawing/2014/chart" uri="{C3380CC4-5D6E-409C-BE32-E72D297353CC}">
                <c16:uniqueId val="{00000033-1AB6-45B0-A596-BAE7AAA5DEBF}"/>
              </c:ext>
            </c:extLst>
          </c:dPt>
          <c:dPt>
            <c:idx val="26"/>
            <c:bubble3D val="0"/>
            <c:spPr>
              <a:ln w="28575" cap="rnd">
                <a:solidFill>
                  <a:schemeClr val="accent1">
                    <a:tint val="74000"/>
                  </a:schemeClr>
                </a:solidFill>
                <a:round/>
              </a:ln>
              <a:effectLst/>
            </c:spPr>
            <c:extLst xmlns:c16r2="http://schemas.microsoft.com/office/drawing/2015/06/chart">
              <c:ext xmlns:c16="http://schemas.microsoft.com/office/drawing/2014/chart" uri="{C3380CC4-5D6E-409C-BE32-E72D297353CC}">
                <c16:uniqueId val="{00000035-1AB6-45B0-A596-BAE7AAA5DEBF}"/>
              </c:ext>
            </c:extLst>
          </c:dPt>
          <c:dPt>
            <c:idx val="27"/>
            <c:bubble3D val="0"/>
            <c:spPr>
              <a:ln w="28575" cap="rnd">
                <a:solidFill>
                  <a:schemeClr val="accent1">
                    <a:tint val="70000"/>
                  </a:schemeClr>
                </a:solidFill>
                <a:round/>
              </a:ln>
              <a:effectLst/>
            </c:spPr>
            <c:extLst xmlns:c16r2="http://schemas.microsoft.com/office/drawing/2015/06/chart">
              <c:ext xmlns:c16="http://schemas.microsoft.com/office/drawing/2014/chart" uri="{C3380CC4-5D6E-409C-BE32-E72D297353CC}">
                <c16:uniqueId val="{00000037-1AB6-45B0-A596-BAE7AAA5DEBF}"/>
              </c:ext>
            </c:extLst>
          </c:dPt>
          <c:dPt>
            <c:idx val="28"/>
            <c:bubble3D val="0"/>
            <c:spPr>
              <a:ln w="28575" cap="rnd">
                <a:solidFill>
                  <a:schemeClr val="accent1">
                    <a:tint val="66000"/>
                  </a:schemeClr>
                </a:solidFill>
                <a:round/>
              </a:ln>
              <a:effectLst/>
            </c:spPr>
            <c:extLst xmlns:c16r2="http://schemas.microsoft.com/office/drawing/2015/06/chart">
              <c:ext xmlns:c16="http://schemas.microsoft.com/office/drawing/2014/chart" uri="{C3380CC4-5D6E-409C-BE32-E72D297353CC}">
                <c16:uniqueId val="{00000039-1AB6-45B0-A596-BAE7AAA5DEBF}"/>
              </c:ext>
            </c:extLst>
          </c:dPt>
          <c:dPt>
            <c:idx val="29"/>
            <c:bubble3D val="0"/>
            <c:spPr>
              <a:ln w="28575" cap="rnd">
                <a:solidFill>
                  <a:schemeClr val="accent1">
                    <a:tint val="63000"/>
                  </a:schemeClr>
                </a:solidFill>
                <a:round/>
              </a:ln>
              <a:effectLst/>
            </c:spPr>
            <c:extLst xmlns:c16r2="http://schemas.microsoft.com/office/drawing/2015/06/chart">
              <c:ext xmlns:c16="http://schemas.microsoft.com/office/drawing/2014/chart" uri="{C3380CC4-5D6E-409C-BE32-E72D297353CC}">
                <c16:uniqueId val="{0000003B-1AB6-45B0-A596-BAE7AAA5DEBF}"/>
              </c:ext>
            </c:extLst>
          </c:dPt>
          <c:dPt>
            <c:idx val="30"/>
            <c:bubble3D val="0"/>
            <c:spPr>
              <a:ln w="28575" cap="rnd">
                <a:solidFill>
                  <a:schemeClr val="accent1">
                    <a:tint val="59000"/>
                  </a:schemeClr>
                </a:solidFill>
                <a:round/>
              </a:ln>
              <a:effectLst/>
            </c:spPr>
            <c:extLst xmlns:c16r2="http://schemas.microsoft.com/office/drawing/2015/06/chart">
              <c:ext xmlns:c16="http://schemas.microsoft.com/office/drawing/2014/chart" uri="{C3380CC4-5D6E-409C-BE32-E72D297353CC}">
                <c16:uniqueId val="{0000003D-1AB6-45B0-A596-BAE7AAA5DEBF}"/>
              </c:ext>
            </c:extLst>
          </c:dPt>
          <c:dPt>
            <c:idx val="31"/>
            <c:bubble3D val="0"/>
            <c:spPr>
              <a:ln w="28575" cap="rnd">
                <a:solidFill>
                  <a:schemeClr val="accent1">
                    <a:tint val="56000"/>
                  </a:schemeClr>
                </a:solidFill>
                <a:round/>
              </a:ln>
              <a:effectLst/>
            </c:spPr>
            <c:extLst xmlns:c16r2="http://schemas.microsoft.com/office/drawing/2015/06/chart">
              <c:ext xmlns:c16="http://schemas.microsoft.com/office/drawing/2014/chart" uri="{C3380CC4-5D6E-409C-BE32-E72D297353CC}">
                <c16:uniqueId val="{0000003F-1AB6-45B0-A596-BAE7AAA5DEBF}"/>
              </c:ext>
            </c:extLst>
          </c:dPt>
          <c:dPt>
            <c:idx val="32"/>
            <c:bubble3D val="0"/>
            <c:spPr>
              <a:ln w="28575" cap="rnd">
                <a:solidFill>
                  <a:schemeClr val="accent1">
                    <a:tint val="52000"/>
                  </a:schemeClr>
                </a:solidFill>
                <a:round/>
              </a:ln>
              <a:effectLst/>
            </c:spPr>
            <c:extLst xmlns:c16r2="http://schemas.microsoft.com/office/drawing/2015/06/chart">
              <c:ext xmlns:c16="http://schemas.microsoft.com/office/drawing/2014/chart" uri="{C3380CC4-5D6E-409C-BE32-E72D297353CC}">
                <c16:uniqueId val="{00000041-1AB6-45B0-A596-BAE7AAA5DEBF}"/>
              </c:ext>
            </c:extLst>
          </c:dPt>
          <c:dPt>
            <c:idx val="33"/>
            <c:bubble3D val="0"/>
            <c:spPr>
              <a:ln w="28575" cap="rnd">
                <a:solidFill>
                  <a:schemeClr val="accent1">
                    <a:tint val="48000"/>
                  </a:schemeClr>
                </a:solidFill>
                <a:round/>
              </a:ln>
              <a:effectLst/>
            </c:spPr>
            <c:extLst xmlns:c16r2="http://schemas.microsoft.com/office/drawing/2015/06/chart">
              <c:ext xmlns:c16="http://schemas.microsoft.com/office/drawing/2014/chart" uri="{C3380CC4-5D6E-409C-BE32-E72D297353CC}">
                <c16:uniqueId val="{00000043-1AB6-45B0-A596-BAE7AAA5DEBF}"/>
              </c:ext>
            </c:extLst>
          </c:dPt>
          <c:dPt>
            <c:idx val="34"/>
            <c:bubble3D val="0"/>
            <c:spPr>
              <a:ln w="28575" cap="rnd">
                <a:solidFill>
                  <a:schemeClr val="accent1">
                    <a:tint val="45000"/>
                  </a:schemeClr>
                </a:solidFill>
                <a:round/>
              </a:ln>
              <a:effectLst/>
            </c:spPr>
            <c:extLst xmlns:c16r2="http://schemas.microsoft.com/office/drawing/2015/06/chart">
              <c:ext xmlns:c16="http://schemas.microsoft.com/office/drawing/2014/chart" uri="{C3380CC4-5D6E-409C-BE32-E72D297353CC}">
                <c16:uniqueId val="{00000045-1AB6-45B0-A596-BAE7AAA5DEBF}"/>
              </c:ext>
            </c:extLst>
          </c:dPt>
          <c:dPt>
            <c:idx val="35"/>
            <c:bubble3D val="0"/>
            <c:spPr>
              <a:ln w="28575" cap="rnd">
                <a:solidFill>
                  <a:schemeClr val="accent1">
                    <a:tint val="41000"/>
                  </a:schemeClr>
                </a:solidFill>
                <a:round/>
              </a:ln>
              <a:effectLst/>
            </c:spPr>
            <c:extLst xmlns:c16r2="http://schemas.microsoft.com/office/drawing/2015/06/chart">
              <c:ext xmlns:c16="http://schemas.microsoft.com/office/drawing/2014/chart" uri="{C3380CC4-5D6E-409C-BE32-E72D297353CC}">
                <c16:uniqueId val="{00000047-1AB6-45B0-A596-BAE7AAA5DEBF}"/>
              </c:ext>
            </c:extLst>
          </c:dPt>
          <c:dPt>
            <c:idx val="36"/>
            <c:bubble3D val="0"/>
            <c:spPr>
              <a:ln w="28575" cap="rnd">
                <a:solidFill>
                  <a:schemeClr val="accent1">
                    <a:tint val="38000"/>
                  </a:schemeClr>
                </a:solidFill>
                <a:round/>
              </a:ln>
              <a:effectLst/>
            </c:spPr>
            <c:extLst xmlns:c16r2="http://schemas.microsoft.com/office/drawing/2015/06/chart">
              <c:ext xmlns:c16="http://schemas.microsoft.com/office/drawing/2014/chart" uri="{C3380CC4-5D6E-409C-BE32-E72D297353CC}">
                <c16:uniqueId val="{00000049-1AB6-45B0-A596-BAE7AAA5DEBF}"/>
              </c:ext>
            </c:extLst>
          </c:dPt>
          <c:dPt>
            <c:idx val="37"/>
            <c:bubble3D val="0"/>
            <c:spPr>
              <a:ln w="28575" cap="rnd">
                <a:solidFill>
                  <a:schemeClr val="accent1">
                    <a:tint val="34000"/>
                  </a:schemeClr>
                </a:solidFill>
                <a:round/>
              </a:ln>
              <a:effectLst/>
            </c:spPr>
            <c:extLst xmlns:c16r2="http://schemas.microsoft.com/office/drawing/2015/06/chart">
              <c:ext xmlns:c16="http://schemas.microsoft.com/office/drawing/2014/chart" uri="{C3380CC4-5D6E-409C-BE32-E72D297353CC}">
                <c16:uniqueId val="{0000004B-1AB6-45B0-A596-BAE7AAA5DEBF}"/>
              </c:ext>
            </c:extLst>
          </c:dPt>
          <c:dPt>
            <c:idx val="38"/>
            <c:bubble3D val="0"/>
            <c:spPr>
              <a:ln w="28575" cap="rnd">
                <a:solidFill>
                  <a:schemeClr val="accent1">
                    <a:tint val="34000"/>
                  </a:schemeClr>
                </a:solidFill>
                <a:round/>
              </a:ln>
              <a:effectLst/>
            </c:spPr>
            <c:extLst xmlns:c16r2="http://schemas.microsoft.com/office/drawing/2015/06/chart">
              <c:ext xmlns:c16="http://schemas.microsoft.com/office/drawing/2014/chart" uri="{C3380CC4-5D6E-409C-BE32-E72D297353CC}">
                <c16:uniqueId val="{0000004D-5684-4452-A52B-4756C9818D5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1"/>
            <c:showBubbleSize val="1"/>
            <c:showLeaderLines val="0"/>
            <c:extLst xmlns:c16r2="http://schemas.microsoft.com/office/drawing/2015/06/chart">
              <c:ext xmlns:c15="http://schemas.microsoft.com/office/drawing/2012/chart" uri="{CE6537A1-D6FC-4f65-9D91-7224C49458BB}">
                <c15:showLeaderLines val="0"/>
              </c:ext>
            </c:extLst>
          </c:dLbls>
          <c:trendline>
            <c:spPr>
              <a:ln w="19050" cap="rnd">
                <a:solidFill>
                  <a:schemeClr val="accent1"/>
                </a:solidFill>
                <a:prstDash val="sysDot"/>
              </a:ln>
              <a:effectLst/>
            </c:spPr>
            <c:trendlineType val="linear"/>
            <c:dispRSqr val="0"/>
            <c:dispEq val="0"/>
          </c:trendline>
          <c:cat>
            <c:numRef>
              <c:f>MORBIDITET!$X$1:$BW$1</c:f>
              <c:numCache>
                <c:formatCode>0</c:formatCode>
                <c:ptCount val="52"/>
                <c:pt idx="0">
                  <c:v>1966</c:v>
                </c:pt>
                <c:pt idx="1">
                  <c:v>1967</c:v>
                </c:pt>
                <c:pt idx="2">
                  <c:v>1968</c:v>
                </c:pt>
                <c:pt idx="3">
                  <c:v>1969</c:v>
                </c:pt>
                <c:pt idx="4">
                  <c:v>1970</c:v>
                </c:pt>
                <c:pt idx="5">
                  <c:v>1971</c:v>
                </c:pt>
                <c:pt idx="6">
                  <c:v>1972</c:v>
                </c:pt>
                <c:pt idx="7">
                  <c:v>1973</c:v>
                </c:pt>
                <c:pt idx="8">
                  <c:v>1974</c:v>
                </c:pt>
                <c:pt idx="9">
                  <c:v>1975</c:v>
                </c:pt>
                <c:pt idx="10">
                  <c:v>1976</c:v>
                </c:pt>
                <c:pt idx="11">
                  <c:v>1977</c:v>
                </c:pt>
                <c:pt idx="12">
                  <c:v>1978</c:v>
                </c:pt>
                <c:pt idx="13">
                  <c:v>1979</c:v>
                </c:pt>
                <c:pt idx="14">
                  <c:v>1980</c:v>
                </c:pt>
                <c:pt idx="15">
                  <c:v>1981</c:v>
                </c:pt>
                <c:pt idx="16">
                  <c:v>1982</c:v>
                </c:pt>
                <c:pt idx="17">
                  <c:v>1983</c:v>
                </c:pt>
                <c:pt idx="18">
                  <c:v>1984</c:v>
                </c:pt>
                <c:pt idx="19">
                  <c:v>1985</c:v>
                </c:pt>
                <c:pt idx="20">
                  <c:v>1986</c:v>
                </c:pt>
                <c:pt idx="21">
                  <c:v>1987</c:v>
                </c:pt>
                <c:pt idx="22">
                  <c:v>1988</c:v>
                </c:pt>
                <c:pt idx="23">
                  <c:v>1989</c:v>
                </c:pt>
                <c:pt idx="24">
                  <c:v>1990</c:v>
                </c:pt>
                <c:pt idx="25">
                  <c:v>1991</c:v>
                </c:pt>
                <c:pt idx="26">
                  <c:v>1992</c:v>
                </c:pt>
                <c:pt idx="27">
                  <c:v>1993</c:v>
                </c:pt>
                <c:pt idx="28">
                  <c:v>1994</c:v>
                </c:pt>
                <c:pt idx="29">
                  <c:v>1995</c:v>
                </c:pt>
                <c:pt idx="30">
                  <c:v>1996</c:v>
                </c:pt>
                <c:pt idx="31">
                  <c:v>1997</c:v>
                </c:pt>
                <c:pt idx="32">
                  <c:v>1998</c:v>
                </c:pt>
                <c:pt idx="33">
                  <c:v>1999</c:v>
                </c:pt>
                <c:pt idx="34">
                  <c:v>2000</c:v>
                </c:pt>
                <c:pt idx="35">
                  <c:v>2001</c:v>
                </c:pt>
                <c:pt idx="36">
                  <c:v>2002</c:v>
                </c:pt>
                <c:pt idx="37">
                  <c:v>2003</c:v>
                </c:pt>
                <c:pt idx="38">
                  <c:v>2004</c:v>
                </c:pt>
                <c:pt idx="39">
                  <c:v>2005</c:v>
                </c:pt>
                <c:pt idx="40">
                  <c:v>2006</c:v>
                </c:pt>
                <c:pt idx="41">
                  <c:v>2007</c:v>
                </c:pt>
                <c:pt idx="42">
                  <c:v>2008</c:v>
                </c:pt>
                <c:pt idx="43">
                  <c:v>2009</c:v>
                </c:pt>
                <c:pt idx="44">
                  <c:v>2010</c:v>
                </c:pt>
                <c:pt idx="45">
                  <c:v>2011</c:v>
                </c:pt>
                <c:pt idx="46">
                  <c:v>2012</c:v>
                </c:pt>
                <c:pt idx="47">
                  <c:v>2013</c:v>
                </c:pt>
                <c:pt idx="48">
                  <c:v>2014</c:v>
                </c:pt>
                <c:pt idx="49">
                  <c:v>2015</c:v>
                </c:pt>
                <c:pt idx="50" formatCode="General">
                  <c:v>2016</c:v>
                </c:pt>
                <c:pt idx="51" formatCode="General">
                  <c:v>2017</c:v>
                </c:pt>
              </c:numCache>
            </c:numRef>
          </c:cat>
          <c:val>
            <c:numRef>
              <c:f>MORBIDITET!$X$104:$BW$104</c:f>
              <c:numCache>
                <c:formatCode>0.00</c:formatCode>
                <c:ptCount val="52"/>
                <c:pt idx="0">
                  <c:v>2.3199999999999998</c:v>
                </c:pt>
                <c:pt idx="1">
                  <c:v>0.26</c:v>
                </c:pt>
                <c:pt idx="2">
                  <c:v>0.05</c:v>
                </c:pt>
                <c:pt idx="3">
                  <c:v>0.32</c:v>
                </c:pt>
                <c:pt idx="4">
                  <c:v>0</c:v>
                </c:pt>
                <c:pt idx="5">
                  <c:v>0</c:v>
                </c:pt>
                <c:pt idx="6">
                  <c:v>1.17</c:v>
                </c:pt>
                <c:pt idx="7">
                  <c:v>0</c:v>
                </c:pt>
                <c:pt idx="8">
                  <c:v>0.25</c:v>
                </c:pt>
                <c:pt idx="9">
                  <c:v>1.56</c:v>
                </c:pt>
                <c:pt idx="10">
                  <c:v>0.6</c:v>
                </c:pt>
                <c:pt idx="11">
                  <c:v>1.7</c:v>
                </c:pt>
                <c:pt idx="12">
                  <c:v>1.49</c:v>
                </c:pt>
                <c:pt idx="13">
                  <c:v>0.79</c:v>
                </c:pt>
                <c:pt idx="14">
                  <c:v>0.24</c:v>
                </c:pt>
                <c:pt idx="15">
                  <c:v>0</c:v>
                </c:pt>
                <c:pt idx="16">
                  <c:v>0.15</c:v>
                </c:pt>
                <c:pt idx="17">
                  <c:v>0.24</c:v>
                </c:pt>
                <c:pt idx="18">
                  <c:v>2.57</c:v>
                </c:pt>
                <c:pt idx="19">
                  <c:v>44.72</c:v>
                </c:pt>
                <c:pt idx="20">
                  <c:v>1.33</c:v>
                </c:pt>
                <c:pt idx="21">
                  <c:v>4.17</c:v>
                </c:pt>
                <c:pt idx="22">
                  <c:v>3.07</c:v>
                </c:pt>
                <c:pt idx="23">
                  <c:v>4.6100000000000003</c:v>
                </c:pt>
                <c:pt idx="24">
                  <c:v>4.46</c:v>
                </c:pt>
                <c:pt idx="25">
                  <c:v>7.25</c:v>
                </c:pt>
                <c:pt idx="26">
                  <c:v>8.34</c:v>
                </c:pt>
                <c:pt idx="27">
                  <c:v>8.7899999999999991</c:v>
                </c:pt>
                <c:pt idx="28">
                  <c:v>9.89</c:v>
                </c:pt>
                <c:pt idx="29">
                  <c:v>13.19</c:v>
                </c:pt>
                <c:pt idx="30">
                  <c:v>21.35</c:v>
                </c:pt>
                <c:pt idx="31">
                  <c:v>13.36</c:v>
                </c:pt>
                <c:pt idx="32">
                  <c:v>10.3</c:v>
                </c:pt>
                <c:pt idx="33">
                  <c:v>12.31</c:v>
                </c:pt>
                <c:pt idx="34">
                  <c:v>10.029999999999999</c:v>
                </c:pt>
                <c:pt idx="35">
                  <c:v>9.6300000000000008</c:v>
                </c:pt>
                <c:pt idx="36">
                  <c:v>13.533517848495467</c:v>
                </c:pt>
                <c:pt idx="37">
                  <c:v>2.5590651931700519</c:v>
                </c:pt>
                <c:pt idx="38">
                  <c:v>2.263788440111969</c:v>
                </c:pt>
                <c:pt idx="39">
                  <c:v>13.631943432848161</c:v>
                </c:pt>
                <c:pt idx="40">
                  <c:v>4.8228536332820209</c:v>
                </c:pt>
                <c:pt idx="41">
                  <c:v>2.8051291540517878</c:v>
                </c:pt>
                <c:pt idx="42">
                  <c:v>2.7</c:v>
                </c:pt>
                <c:pt idx="43" formatCode="General">
                  <c:v>2.2000000000000002</c:v>
                </c:pt>
                <c:pt idx="44">
                  <c:v>0.49212792176347148</c:v>
                </c:pt>
                <c:pt idx="45" formatCode="General">
                  <c:v>3.4</c:v>
                </c:pt>
                <c:pt idx="46" formatCode="General">
                  <c:v>0.5</c:v>
                </c:pt>
                <c:pt idx="47" formatCode="0.0">
                  <c:v>3.5717816823505846</c:v>
                </c:pt>
                <c:pt idx="48" formatCode="0.0">
                  <c:v>1.9</c:v>
                </c:pt>
                <c:pt idx="49" formatCode="0.0">
                  <c:v>2.7</c:v>
                </c:pt>
                <c:pt idx="50" formatCode="General">
                  <c:v>2.6</c:v>
                </c:pt>
                <c:pt idx="51" formatCode="General">
                  <c:v>0.3</c:v>
                </c:pt>
              </c:numCache>
            </c:numRef>
          </c:val>
          <c:smooth val="1"/>
          <c:extLst xmlns:c16r2="http://schemas.microsoft.com/office/drawing/2015/06/chart">
            <c:ext xmlns:c16="http://schemas.microsoft.com/office/drawing/2014/chart" uri="{C3380CC4-5D6E-409C-BE32-E72D297353CC}">
              <c16:uniqueId val="{00000000-8870-4F81-B5CF-F746D0956320}"/>
            </c:ext>
          </c:extLst>
        </c:ser>
        <c:dLbls>
          <c:showLegendKey val="0"/>
          <c:showVal val="0"/>
          <c:showCatName val="0"/>
          <c:showSerName val="0"/>
          <c:showPercent val="0"/>
          <c:showBubbleSize val="0"/>
        </c:dLbls>
        <c:smooth val="0"/>
        <c:axId val="294416048"/>
        <c:axId val="294416440"/>
      </c:lineChart>
      <c:catAx>
        <c:axId val="294416048"/>
        <c:scaling>
          <c:orientation val="minMax"/>
        </c:scaling>
        <c:delete val="0"/>
        <c:axPos val="b"/>
        <c:numFmt formatCode="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94416440"/>
        <c:crosses val="autoZero"/>
        <c:auto val="1"/>
        <c:lblAlgn val="ctr"/>
        <c:lblOffset val="100"/>
        <c:tickLblSkip val="3"/>
        <c:tickMarkSkip val="1"/>
        <c:noMultiLvlLbl val="1"/>
      </c:catAx>
      <c:valAx>
        <c:axId val="294416440"/>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sr-Cyrl-RS"/>
                  <a:t>Инциденција</a:t>
                </a:r>
                <a:endParaRPr lang="sr-Latn-RS"/>
              </a:p>
            </c:rich>
          </c:tx>
          <c:overlay val="1"/>
          <c:spPr>
            <a:noFill/>
            <a:ln>
              <a:noFill/>
            </a:ln>
            <a:effectLst/>
          </c:sp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94416048"/>
        <c:crosses val="autoZero"/>
        <c:crossBetween val="between"/>
      </c:valAx>
      <c:spPr>
        <a:noFill/>
        <a:ln>
          <a:noFill/>
        </a:ln>
        <a:effectLst/>
      </c:spPr>
    </c:plotArea>
    <c:plotVisOnly val="1"/>
    <c:dispBlanksAs val="gap"/>
    <c:showDLblsOverMax val="1"/>
  </c:chart>
  <c:spPr>
    <a:noFill/>
    <a:ln w="9525" cap="flat" cmpd="sng" algn="ctr">
      <a:noFill/>
      <a:round/>
    </a:ln>
    <a:effectLst/>
  </c:spPr>
  <c:txPr>
    <a:bodyPr/>
    <a:lstStyle/>
    <a:p>
      <a:pPr>
        <a:defRPr/>
      </a:pPr>
      <a:endParaRPr lang="en-US"/>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0.00724</cdr:x>
      <cdr:y>0.08678</cdr:y>
    </cdr:from>
    <cdr:to>
      <cdr:x>0.06124</cdr:x>
      <cdr:y>0.65909</cdr:y>
    </cdr:to>
    <cdr:sp macro="" textlink="">
      <cdr:nvSpPr>
        <cdr:cNvPr id="2" name="Text Box 85"/>
        <cdr:cNvSpPr txBox="1">
          <a:spLocks xmlns:a="http://schemas.openxmlformats.org/drawingml/2006/main" noChangeArrowheads="1"/>
        </cdr:cNvSpPr>
      </cdr:nvSpPr>
      <cdr:spPr bwMode="auto">
        <a:xfrm xmlns:a="http://schemas.openxmlformats.org/drawingml/2006/main">
          <a:off x="43238" y="320040"/>
          <a:ext cx="322521" cy="2110739"/>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vert270" wrap="square" lIns="27432" tIns="27432" rIns="0" bIns="0" anchor="ctr" upright="1"/>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rtl="0">
            <a:defRPr sz="1000"/>
          </a:pPr>
          <a:r>
            <a:rPr lang="sr-Cyrl-CS" sz="1000" b="0" i="0" u="none" strike="noStrike" baseline="0">
              <a:solidFill>
                <a:srgbClr val="000000"/>
              </a:solidFill>
              <a:latin typeface="Century Gothic" pitchFamily="34" charset="0"/>
              <a:cs typeface="Times New Roman"/>
            </a:rPr>
            <a:t>Стопа ОСГ на 100.000 становника</a:t>
          </a:r>
          <a:endParaRPr lang="sr-Latn-CS" sz="1000" b="0" i="0" u="none" strike="noStrike" baseline="0">
            <a:solidFill>
              <a:srgbClr val="000000"/>
            </a:solidFill>
            <a:latin typeface="Century Gothic" pitchFamily="34" charset="0"/>
            <a:cs typeface="Times New Roman"/>
          </a:endParaRPr>
        </a:p>
      </cdr:txBody>
    </cdr:sp>
  </cdr:relSizeAnchor>
  <cdr:relSizeAnchor xmlns:cdr="http://schemas.openxmlformats.org/drawingml/2006/chartDrawing">
    <cdr:from>
      <cdr:x>0.00425</cdr:x>
      <cdr:y>0.04272</cdr:y>
    </cdr:from>
    <cdr:to>
      <cdr:x>0.06443</cdr:x>
      <cdr:y>0.56198</cdr:y>
    </cdr:to>
    <cdr:sp macro="" textlink="">
      <cdr:nvSpPr>
        <cdr:cNvPr id="298069" name="Text Box 85"/>
        <cdr:cNvSpPr txBox="1">
          <a:spLocks xmlns:a="http://schemas.openxmlformats.org/drawingml/2006/main" noChangeArrowheads="1"/>
        </cdr:cNvSpPr>
      </cdr:nvSpPr>
      <cdr:spPr bwMode="auto">
        <a:xfrm xmlns:a="http://schemas.openxmlformats.org/drawingml/2006/main">
          <a:off x="25382" y="157555"/>
          <a:ext cx="359428" cy="1915085"/>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vert="vert270" wrap="square" lIns="27432" tIns="27432" rIns="0" bIns="0" anchor="ctr" upright="1"/>
        <a:lstStyle xmlns:a="http://schemas.openxmlformats.org/drawingml/2006/main"/>
        <a:p xmlns:a="http://schemas.openxmlformats.org/drawingml/2006/main">
          <a:endParaRPr lang="sr-Latn-CS"/>
        </a:p>
      </cdr:txBody>
    </cdr:sp>
  </cdr:relSizeAnchor>
  <cdr:relSizeAnchor xmlns:cdr="http://schemas.openxmlformats.org/drawingml/2006/chartDrawing">
    <cdr:from>
      <cdr:x>0.41547</cdr:x>
      <cdr:y>0.78359</cdr:y>
    </cdr:from>
    <cdr:to>
      <cdr:x>0.78596</cdr:x>
      <cdr:y>0.84055</cdr:y>
    </cdr:to>
    <cdr:sp macro="" textlink="">
      <cdr:nvSpPr>
        <cdr:cNvPr id="4" name="TextBox 3"/>
        <cdr:cNvSpPr txBox="1"/>
      </cdr:nvSpPr>
      <cdr:spPr>
        <a:xfrm xmlns:a="http://schemas.openxmlformats.org/drawingml/2006/main">
          <a:off x="2481284" y="3059105"/>
          <a:ext cx="2212636" cy="222371"/>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sr-Cyrl-CS" sz="1000">
              <a:latin typeface="Century Gothic" pitchFamily="34" charset="0"/>
            </a:rPr>
            <a:t>Недеље надзора (октобар-мај)</a:t>
          </a:r>
          <a:endParaRPr lang="sr-Latn-CS" sz="1000">
            <a:latin typeface="Century Gothic"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0.36717</cdr:y>
    </cdr:from>
    <cdr:to>
      <cdr:x>0.04034</cdr:x>
      <cdr:y>0.51759</cdr:y>
    </cdr:to>
    <cdr:sp macro="" textlink="">
      <cdr:nvSpPr>
        <cdr:cNvPr id="2" name="TextBox 1"/>
        <cdr:cNvSpPr txBox="1"/>
      </cdr:nvSpPr>
      <cdr:spPr>
        <a:xfrm xmlns:a="http://schemas.openxmlformats.org/drawingml/2006/main" rot="16200000">
          <a:off x="-172987" y="1605945"/>
          <a:ext cx="587046" cy="24107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sr-Cyrl-CS" sz="1100" b="1"/>
            <a:t>Инциденција</a:t>
          </a:r>
          <a:endParaRPr lang="sr-Latn-CS" sz="1100" b="1"/>
        </a:p>
      </cdr:txBody>
    </cdr:sp>
  </cdr:relSizeAnchor>
  <cdr:relSizeAnchor xmlns:cdr="http://schemas.openxmlformats.org/drawingml/2006/chartDrawing">
    <cdr:from>
      <cdr:x>0.94031</cdr:x>
      <cdr:y>0.37984</cdr:y>
    </cdr:from>
    <cdr:to>
      <cdr:x>0.9941</cdr:x>
      <cdr:y>0.52708</cdr:y>
    </cdr:to>
    <cdr:sp macro="" textlink="">
      <cdr:nvSpPr>
        <cdr:cNvPr id="3" name="TextBox 1"/>
        <cdr:cNvSpPr txBox="1"/>
      </cdr:nvSpPr>
      <cdr:spPr>
        <a:xfrm xmlns:a="http://schemas.openxmlformats.org/drawingml/2006/main" rot="16200000">
          <a:off x="8548255" y="2506519"/>
          <a:ext cx="895157" cy="50030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sr-Cyrl-CS" sz="1100" b="1"/>
            <a:t>Обухват</a:t>
          </a:r>
          <a:endParaRPr lang="sr-Latn-CS" sz="1100" b="1"/>
        </a:p>
      </cdr:txBody>
    </cdr:sp>
  </cdr:relSizeAnchor>
</c:userShapes>
</file>

<file path=word/drawings/drawing3.xml><?xml version="1.0" encoding="utf-8"?>
<c:userShapes xmlns:c="http://schemas.openxmlformats.org/drawingml/2006/chart">
  <cdr:relSizeAnchor xmlns:cdr="http://schemas.openxmlformats.org/drawingml/2006/chartDrawing">
    <cdr:from>
      <cdr:x>0</cdr:x>
      <cdr:y>0.38775</cdr:y>
    </cdr:from>
    <cdr:to>
      <cdr:x>0.04034</cdr:x>
      <cdr:y>0.53816</cdr:y>
    </cdr:to>
    <cdr:sp macro="" textlink="">
      <cdr:nvSpPr>
        <cdr:cNvPr id="2" name="TextBox 1"/>
        <cdr:cNvSpPr txBox="1"/>
      </cdr:nvSpPr>
      <cdr:spPr>
        <a:xfrm xmlns:a="http://schemas.openxmlformats.org/drawingml/2006/main" rot="16200000">
          <a:off x="-298451" y="2626784"/>
          <a:ext cx="914400" cy="37522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sr-Cyrl-CS" sz="1100" b="1"/>
            <a:t>Инцидецнија</a:t>
          </a:r>
          <a:endParaRPr lang="sr-Latn-CS" sz="1100" b="1"/>
        </a:p>
      </cdr:txBody>
    </cdr:sp>
  </cdr:relSizeAnchor>
  <cdr:relSizeAnchor xmlns:cdr="http://schemas.openxmlformats.org/drawingml/2006/chartDrawing">
    <cdr:from>
      <cdr:x>0.94621</cdr:x>
      <cdr:y>0.37034</cdr:y>
    </cdr:from>
    <cdr:to>
      <cdr:x>1</cdr:x>
      <cdr:y>0.51759</cdr:y>
    </cdr:to>
    <cdr:sp macro="" textlink="">
      <cdr:nvSpPr>
        <cdr:cNvPr id="3" name="TextBox 1"/>
        <cdr:cNvSpPr txBox="1"/>
      </cdr:nvSpPr>
      <cdr:spPr>
        <a:xfrm xmlns:a="http://schemas.openxmlformats.org/drawingml/2006/main" rot="16200000">
          <a:off x="8634847" y="2448791"/>
          <a:ext cx="895157" cy="50030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sr-Cyrl-CS" sz="1100" b="1"/>
            <a:t>Обухават</a:t>
          </a:r>
          <a:endParaRPr lang="sr-Latn-CS" sz="1100" b="1"/>
        </a:p>
      </cdr:txBody>
    </cdr:sp>
  </cdr:relSizeAnchor>
  <cdr:relSizeAnchor xmlns:cdr="http://schemas.openxmlformats.org/drawingml/2006/chartDrawing">
    <cdr:from>
      <cdr:x>0.12968</cdr:x>
      <cdr:y>0.00622</cdr:y>
    </cdr:from>
    <cdr:to>
      <cdr:x>0.3168</cdr:x>
      <cdr:y>0.13216</cdr:y>
    </cdr:to>
    <cdr:sp macro="" textlink="">
      <cdr:nvSpPr>
        <cdr:cNvPr id="4" name="TextBox 3"/>
        <cdr:cNvSpPr txBox="1">
          <a:spLocks xmlns:a="http://schemas.openxmlformats.org/drawingml/2006/main"/>
        </cdr:cNvSpPr>
      </cdr:nvSpPr>
      <cdr:spPr>
        <a:xfrm xmlns:a="http://schemas.openxmlformats.org/drawingml/2006/main">
          <a:off x="774979" y="24282"/>
          <a:ext cx="1118235" cy="49149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spcAft>
              <a:spcPts val="0"/>
            </a:spcAft>
          </a:pPr>
          <a:r>
            <a:rPr lang="sr-Latn-RS" sz="1100">
              <a:effectLst/>
              <a:latin typeface="Century Gothic" panose="020B0502020202020204" pitchFamily="34" charset="0"/>
              <a:ea typeface="Times New Roman" panose="02020603050405020304" pitchFamily="18" charset="0"/>
              <a:cs typeface="Times New Roman" panose="02020603050405020304" pitchFamily="18" charset="0"/>
            </a:rPr>
            <a:t>Уведена вакцинација</a:t>
          </a:r>
          <a:endParaRPr lang="sr-Latn-RS" sz="1200">
            <a:effectLst/>
            <a:latin typeface="Times New Roman" panose="02020603050405020304" pitchFamily="18" charset="0"/>
            <a:ea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0.32079</cdr:x>
      <cdr:y>0.03902</cdr:y>
    </cdr:from>
    <cdr:to>
      <cdr:x>0.32397</cdr:x>
      <cdr:y>0.84443</cdr:y>
    </cdr:to>
    <cdr:cxnSp macro="">
      <cdr:nvCxnSpPr>
        <cdr:cNvPr id="5" name="Straight Connector 4"/>
        <cdr:cNvCxnSpPr>
          <a:cxnSpLocks xmlns:a="http://schemas.openxmlformats.org/drawingml/2006/main"/>
        </cdr:cNvCxnSpPr>
      </cdr:nvCxnSpPr>
      <cdr:spPr>
        <a:xfrm xmlns:a="http://schemas.openxmlformats.org/drawingml/2006/main" flipH="1" flipV="1">
          <a:off x="1917014" y="152298"/>
          <a:ext cx="19050" cy="3143250"/>
        </a:xfrm>
        <a:prstGeom xmlns:a="http://schemas.openxmlformats.org/drawingml/2006/main" prst="line">
          <a:avLst/>
        </a:prstGeom>
        <a:noFill xmlns:a="http://schemas.openxmlformats.org/drawingml/2006/main"/>
        <a:ln xmlns:a="http://schemas.openxmlformats.org/drawingml/2006/main" w="9525" cap="rnd" cmpd="sng" algn="ctr">
          <a:solidFill>
            <a:sysClr val="windowText" lastClr="000000"/>
          </a:solidFill>
          <a:prstDash val="solid"/>
        </a:ln>
        <a:effectLst xmlns:a="http://schemas.openxmlformats.org/drawingml/2006/main"/>
      </cdr:spPr>
    </cdr:cxnSp>
  </cdr:relSizeAnchor>
</c:userShapes>
</file>

<file path=word/theme/theme1.xml><?xml version="1.0" encoding="utf-8"?>
<a:theme xmlns:a="http://schemas.openxmlformats.org/drawingml/2006/main" name="Ion">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Ion">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word/theme/themeOverride1.xml><?xml version="1.0" encoding="utf-8"?>
<a:themeOverride xmlns:a="http://schemas.openxmlformats.org/drawingml/2006/main">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527A9-858A-4DE6-85D1-2C4E15415FCB}">
  <ds:schemaRefs>
    <ds:schemaRef ds:uri="http://schemas.microsoft.com/sharepoint/v3/contenttype/forms"/>
  </ds:schemaRefs>
</ds:datastoreItem>
</file>

<file path=customXml/itemProps2.xml><?xml version="1.0" encoding="utf-8"?>
<ds:datastoreItem xmlns:ds="http://schemas.openxmlformats.org/officeDocument/2006/customXml" ds:itemID="{44DC27EE-37E8-42FF-B337-5E111628F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Ion design (blank)</Template>
  <TotalTime>277</TotalTime>
  <Pages>15</Pages>
  <Words>4205</Words>
  <Characters>23971</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Josip</dc:creator>
  <cp:keywords/>
  <cp:lastModifiedBy>Svetlana Ilic</cp:lastModifiedBy>
  <cp:revision>46</cp:revision>
  <cp:lastPrinted>2018-12-21T11:54:00Z</cp:lastPrinted>
  <dcterms:created xsi:type="dcterms:W3CDTF">2018-05-30T12:07:00Z</dcterms:created>
  <dcterms:modified xsi:type="dcterms:W3CDTF">2018-12-21T12:40:00Z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