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Times New Roman" w:hAnsi="Times New Roman"/>
          <w:b/>
          <w:bCs/>
          <w:sz w:val="24"/>
          <w:szCs w:val="24"/>
        </w:rPr>
      </w:pPr>
      <w:bookmarkStart w:id="0" w:name="__DdeLink__51_202152389"/>
      <w:r>
        <w:rPr>
          <w:rFonts w:ascii="Times New Roman" w:hAnsi="Times New Roman"/>
          <w:b/>
          <w:bCs/>
          <w:sz w:val="24"/>
          <w:szCs w:val="24"/>
        </w:rPr>
        <w:t>4. фебруар – С</w:t>
      </w:r>
      <w:r>
        <w:rPr>
          <w:rFonts w:ascii="Times New Roman" w:hAnsi="Times New Roman"/>
          <w:b/>
          <w:bCs/>
          <w:sz w:val="24"/>
          <w:szCs w:val="24"/>
        </w:rPr>
        <w:t>ветски дан борбе против рака</w:t>
      </w:r>
      <w:r>
        <w:rPr>
          <w:rFonts w:ascii="Times New Roman" w:hAnsi="Times New Roman"/>
          <w:b/>
          <w:bCs/>
          <w:sz w:val="24"/>
          <w:szCs w:val="24"/>
        </w:rPr>
        <w:t xml:space="preserve"> 2019.</w:t>
      </w:r>
    </w:p>
    <w:p>
      <w:pPr>
        <w:pStyle w:val="Normal"/>
        <w:jc w:val="center"/>
        <w:rPr>
          <w:rFonts w:ascii="Times New Roman" w:hAnsi="Times New Roman"/>
          <w:b/>
          <w:bCs/>
          <w:sz w:val="24"/>
          <w:szCs w:val="24"/>
        </w:rPr>
      </w:pPr>
      <w:r>
        <w:rPr>
          <w:rFonts w:ascii="Times New Roman" w:hAnsi="Times New Roman"/>
          <w:b/>
          <w:bCs/>
          <w:sz w:val="24"/>
          <w:szCs w:val="24"/>
        </w:rPr>
        <w:t xml:space="preserve">Слоган кампање </w:t>
      </w:r>
      <w:r>
        <w:rPr>
          <w:rFonts w:ascii="Times New Roman" w:hAnsi="Times New Roman"/>
          <w:b/>
          <w:bCs/>
          <w:sz w:val="24"/>
          <w:szCs w:val="24"/>
        </w:rPr>
        <w:t>„Ј</w:t>
      </w:r>
      <w:r>
        <w:rPr>
          <w:rFonts w:ascii="Times New Roman" w:hAnsi="Times New Roman"/>
          <w:b/>
          <w:bCs/>
          <w:sz w:val="24"/>
          <w:szCs w:val="24"/>
        </w:rPr>
        <w:t>а</w:t>
      </w:r>
      <w:r>
        <w:rPr>
          <w:rFonts w:ascii="Times New Roman" w:hAnsi="Times New Roman"/>
          <w:b/>
          <w:bCs/>
          <w:sz w:val="24"/>
          <w:szCs w:val="24"/>
        </w:rPr>
        <w:t xml:space="preserve"> </w:t>
      </w:r>
      <w:r>
        <w:rPr>
          <w:rFonts w:ascii="Times New Roman" w:hAnsi="Times New Roman"/>
          <w:b/>
          <w:bCs/>
          <w:sz w:val="24"/>
          <w:szCs w:val="24"/>
        </w:rPr>
        <w:t>сам</w:t>
      </w:r>
      <w:r>
        <w:rPr>
          <w:rFonts w:ascii="Times New Roman" w:hAnsi="Times New Roman"/>
          <w:b/>
          <w:bCs/>
          <w:sz w:val="24"/>
          <w:szCs w:val="24"/>
        </w:rPr>
        <w:t xml:space="preserve">, </w:t>
      </w:r>
      <w:r>
        <w:rPr>
          <w:rFonts w:ascii="Times New Roman" w:hAnsi="Times New Roman"/>
          <w:b/>
          <w:bCs/>
          <w:sz w:val="24"/>
          <w:szCs w:val="24"/>
        </w:rPr>
        <w:t>ја хоћу</w:t>
      </w:r>
      <w:bookmarkEnd w:id="0"/>
      <w:r>
        <w:rPr>
          <w:rFonts w:ascii="Times New Roman" w:hAnsi="Times New Roman"/>
          <w:b/>
          <w:bCs/>
          <w:sz w:val="24"/>
          <w:szCs w:val="24"/>
        </w:rPr>
        <w:t>”</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Светска здравствена организација са Међународним удружењем за борбу против рака сваког 4. фебруара обележава Светски дан борбе против рака. Међународн</w:t>
      </w:r>
      <w:r>
        <w:rPr>
          <w:rFonts w:ascii="Times New Roman" w:hAnsi="Times New Roman"/>
          <w:b w:val="false"/>
          <w:bCs w:val="false"/>
          <w:sz w:val="24"/>
          <w:szCs w:val="24"/>
        </w:rPr>
        <w:t>о</w:t>
      </w:r>
      <w:r>
        <w:rPr>
          <w:rFonts w:ascii="Times New Roman" w:hAnsi="Times New Roman"/>
          <w:b w:val="false"/>
          <w:bCs w:val="false"/>
          <w:sz w:val="24"/>
          <w:szCs w:val="24"/>
        </w:rPr>
        <w:t xml:space="preserve"> удружење за борбу против рака </w:t>
      </w:r>
      <w:r>
        <w:rPr>
          <w:rFonts w:ascii="Times New Roman" w:hAnsi="Times New Roman"/>
          <w:b w:val="false"/>
          <w:bCs w:val="false"/>
          <w:sz w:val="24"/>
          <w:szCs w:val="24"/>
        </w:rPr>
        <w:t>почиње</w:t>
      </w:r>
      <w:r>
        <w:rPr>
          <w:rFonts w:ascii="Times New Roman" w:hAnsi="Times New Roman"/>
          <w:b w:val="false"/>
          <w:bCs w:val="false"/>
          <w:sz w:val="24"/>
          <w:szCs w:val="24"/>
        </w:rPr>
        <w:t xml:space="preserve"> трогодишњ</w:t>
      </w:r>
      <w:r>
        <w:rPr>
          <w:rFonts w:ascii="Times New Roman" w:hAnsi="Times New Roman"/>
          <w:b w:val="false"/>
          <w:bCs w:val="false"/>
          <w:sz w:val="24"/>
          <w:szCs w:val="24"/>
        </w:rPr>
        <w:t>у</w:t>
      </w:r>
      <w:r>
        <w:rPr>
          <w:rFonts w:ascii="Times New Roman" w:hAnsi="Times New Roman"/>
          <w:b w:val="false"/>
          <w:bCs w:val="false"/>
          <w:sz w:val="24"/>
          <w:szCs w:val="24"/>
        </w:rPr>
        <w:t xml:space="preserve"> кампањ</w:t>
      </w:r>
      <w:r>
        <w:rPr>
          <w:rFonts w:ascii="Times New Roman" w:hAnsi="Times New Roman"/>
          <w:b w:val="false"/>
          <w:bCs w:val="false"/>
          <w:sz w:val="24"/>
          <w:szCs w:val="24"/>
        </w:rPr>
        <w:t>у</w:t>
      </w:r>
      <w:r>
        <w:rPr>
          <w:rFonts w:ascii="Times New Roman" w:hAnsi="Times New Roman"/>
          <w:b w:val="false"/>
          <w:bCs w:val="false"/>
          <w:sz w:val="24"/>
          <w:szCs w:val="24"/>
        </w:rPr>
        <w:t xml:space="preserve"> под слоганом „Ја сам, ја хоћу” којом се подсећа да како појединац и  тако </w:t>
      </w:r>
      <w:r>
        <w:rPr>
          <w:rFonts w:ascii="Times New Roman" w:hAnsi="Times New Roman"/>
          <w:b w:val="false"/>
          <w:bCs w:val="false"/>
          <w:sz w:val="24"/>
          <w:szCs w:val="24"/>
        </w:rPr>
        <w:t>и</w:t>
      </w:r>
      <w:r>
        <w:rPr>
          <w:rFonts w:ascii="Times New Roman" w:hAnsi="Times New Roman"/>
          <w:b w:val="false"/>
          <w:bCs w:val="false"/>
          <w:sz w:val="24"/>
          <w:szCs w:val="24"/>
        </w:rPr>
        <w:t xml:space="preserve"> заједница могу да допринесу смањењу глобалног </w:t>
      </w:r>
      <w:r>
        <w:rPr>
          <w:rFonts w:ascii="Times New Roman" w:hAnsi="Times New Roman"/>
          <w:b w:val="false"/>
          <w:bCs w:val="false"/>
          <w:sz w:val="24"/>
          <w:szCs w:val="24"/>
        </w:rPr>
        <w:t>оптерећења малигним болестима</w:t>
      </w:r>
      <w:r>
        <w:rPr>
          <w:rFonts w:ascii="Times New Roman" w:hAnsi="Times New Roman"/>
          <w:b w:val="false"/>
          <w:bCs w:val="false"/>
          <w:sz w:val="24"/>
          <w:szCs w:val="24"/>
        </w:rPr>
        <w:t>.</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 xml:space="preserve">Према најновијим проценама Светске здравствене организације и Међународне агенције за истраживање рака, оболевање од малигних болести у свету је порасло на 18,1 милиона људи и регистровано је 9,6 милиона смртних случајева од свих локализација малигних тумора у 2018. години. Током живота, један од пет мушкараца </w:t>
      </w:r>
      <w:r>
        <w:rPr>
          <w:rFonts w:ascii="Times New Roman" w:hAnsi="Times New Roman"/>
          <w:b w:val="false"/>
          <w:bCs w:val="false"/>
          <w:sz w:val="24"/>
          <w:szCs w:val="24"/>
        </w:rPr>
        <w:t>и</w:t>
      </w:r>
      <w:r>
        <w:rPr>
          <w:rFonts w:ascii="Times New Roman" w:hAnsi="Times New Roman"/>
          <w:b w:val="false"/>
          <w:bCs w:val="false"/>
          <w:sz w:val="24"/>
          <w:szCs w:val="24"/>
        </w:rPr>
        <w:t xml:space="preserve"> једна од шест жена ће оболети од рака, а један од осам мушкараца </w:t>
      </w:r>
      <w:r>
        <w:rPr>
          <w:rFonts w:ascii="Times New Roman" w:hAnsi="Times New Roman"/>
          <w:b w:val="false"/>
          <w:bCs w:val="false"/>
          <w:sz w:val="24"/>
          <w:szCs w:val="24"/>
        </w:rPr>
        <w:t>и</w:t>
      </w:r>
      <w:r>
        <w:rPr>
          <w:rFonts w:ascii="Times New Roman" w:hAnsi="Times New Roman"/>
          <w:b w:val="false"/>
          <w:bCs w:val="false"/>
          <w:sz w:val="24"/>
          <w:szCs w:val="24"/>
        </w:rPr>
        <w:t xml:space="preserve"> једна од једанаест жена ће умрети од неког облика малигне болести.</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 xml:space="preserve">Повећано оптерећење раком је последица неколико фактора, од којих су најзначајнији, укупан пораст становништва и продужено очекивано трајање живота, али и промена учесталости одређених фактора ризика рака повезаних са социјалним и економским развојем. Пример су земље убрзаног економског развоја где су у прошлости најучесталији били малигни тумори који су последица инфекције. Сада се у овим земљама чешће јављају они типови малигних болести који се доводе у везу са стилом живота и који су  учесталији у индустријски развијеним земљама. </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Упркос чињеници да су превентивни програми у неким земљама довели до значајног смањења стопа оболевања од неких локализација рака, као што су  рак плућа (пример, код мушкараца у Северној Европи и Северној Америци) и рак грлића материце (пример, у већини земаља, осим у земљама Субсахарске Африке), нови подаци показују да се и даље већина земаља још суочава са повећањем апсолутног броја случајева малигних болести  који се  касно дијагностикују и захтевају дуготрајно лечење и негу.</w:t>
      </w:r>
    </w:p>
    <w:p>
      <w:pPr>
        <w:pStyle w:val="Normal"/>
        <w:jc w:val="both"/>
        <w:rPr>
          <w:rFonts w:ascii="Times New Roman" w:hAnsi="Times New Roman"/>
          <w:b/>
          <w:bCs/>
          <w:sz w:val="24"/>
          <w:szCs w:val="24"/>
        </w:rPr>
      </w:pPr>
      <w:r>
        <w:rPr>
          <w:rFonts w:ascii="Times New Roman" w:hAnsi="Times New Roman"/>
          <w:b/>
          <w:bCs/>
          <w:sz w:val="24"/>
          <w:szCs w:val="24"/>
        </w:rPr>
        <w:t xml:space="preserve">Глобално оптерећење раком у </w:t>
      </w:r>
      <w:r>
        <w:rPr>
          <w:rFonts w:ascii="Times New Roman" w:hAnsi="Times New Roman"/>
          <w:b/>
          <w:bCs/>
          <w:sz w:val="24"/>
          <w:szCs w:val="24"/>
        </w:rPr>
        <w:t>с</w:t>
      </w:r>
      <w:r>
        <w:rPr>
          <w:rFonts w:ascii="Times New Roman" w:hAnsi="Times New Roman"/>
          <w:b/>
          <w:bCs/>
          <w:sz w:val="24"/>
          <w:szCs w:val="24"/>
        </w:rPr>
        <w:t>вету</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 xml:space="preserve">Према проценама у 2018. години готово половина нових случајева малигних болести и више од половине смртних случајева од рака у свету се регистровало у Азији, делом је то последица и чињенице да на овом континенту живи скоро 60% светске популације. У Европи, која чини само 9,0% светске популације, регистровано је 23,4% нових случајева рака и 20,3% смртних случајева од малигних болести. За разлику од Европе у Америци, која чини 13,3% светске популације, регистровано је 21,0% новооболелих и 14,4% умрлих од рака. За разлику од других континената већи проценат смртних случајева од рака у односу на проценат новооткривених случајева је регистрован  у Азији (57,3%; 48,4%) и Африци (7,3%; 5,8%,) што се може се довести у везу са већим учешћем одређеним локализацијама рака које имају лошију прогнозу, слабо преживљавање и у многим земљама у Азији </w:t>
      </w:r>
      <w:r>
        <w:rPr>
          <w:rFonts w:ascii="Times New Roman" w:hAnsi="Times New Roman"/>
          <w:b w:val="false"/>
          <w:bCs w:val="false"/>
          <w:sz w:val="24"/>
          <w:szCs w:val="24"/>
          <w:lang w:val="sr-RS"/>
        </w:rPr>
        <w:t>и</w:t>
      </w:r>
      <w:r>
        <w:rPr>
          <w:rFonts w:ascii="Times New Roman" w:hAnsi="Times New Roman"/>
          <w:b w:val="false"/>
          <w:bCs w:val="false"/>
          <w:sz w:val="24"/>
          <w:szCs w:val="24"/>
        </w:rPr>
        <w:t xml:space="preserve"> Африци постоји ограничени приступ здравственој заштити </w:t>
      </w:r>
      <w:r>
        <w:rPr>
          <w:rFonts w:ascii="Times New Roman" w:hAnsi="Times New Roman"/>
          <w:b w:val="false"/>
          <w:bCs w:val="false"/>
          <w:sz w:val="24"/>
          <w:szCs w:val="24"/>
          <w:lang w:val="sr-RS"/>
        </w:rPr>
        <w:t>и</w:t>
      </w:r>
      <w:r>
        <w:rPr>
          <w:rFonts w:ascii="Times New Roman" w:hAnsi="Times New Roman"/>
          <w:b w:val="false"/>
          <w:bCs w:val="false"/>
          <w:sz w:val="24"/>
          <w:szCs w:val="24"/>
        </w:rPr>
        <w:t xml:space="preserve"> правовременој дијагностици </w:t>
      </w:r>
      <w:r>
        <w:rPr>
          <w:rFonts w:ascii="Times New Roman" w:hAnsi="Times New Roman"/>
          <w:b w:val="false"/>
          <w:bCs w:val="false"/>
          <w:sz w:val="24"/>
          <w:szCs w:val="24"/>
          <w:lang w:val="sr-RS"/>
        </w:rPr>
        <w:t>и</w:t>
      </w:r>
      <w:r>
        <w:rPr>
          <w:rFonts w:ascii="Times New Roman" w:hAnsi="Times New Roman"/>
          <w:b w:val="false"/>
          <w:bCs w:val="false"/>
          <w:sz w:val="24"/>
          <w:szCs w:val="24"/>
        </w:rPr>
        <w:t xml:space="preserve"> лечењу.</w:t>
      </w:r>
    </w:p>
    <w:p>
      <w:pPr>
        <w:pStyle w:val="Normal"/>
        <w:jc w:val="both"/>
        <w:rPr>
          <w:rFonts w:ascii="Times New Roman" w:hAnsi="Times New Roman"/>
          <w:b/>
          <w:bCs/>
          <w:sz w:val="24"/>
          <w:szCs w:val="24"/>
        </w:rPr>
      </w:pPr>
      <w:r>
        <w:rPr>
          <w:rFonts w:ascii="Times New Roman" w:hAnsi="Times New Roman"/>
          <w:b/>
          <w:bCs/>
          <w:sz w:val="24"/>
          <w:szCs w:val="24"/>
        </w:rPr>
        <w:t xml:space="preserve">Водеће локализације рака у </w:t>
      </w:r>
      <w:r>
        <w:rPr>
          <w:rFonts w:ascii="Times New Roman" w:hAnsi="Times New Roman"/>
          <w:b/>
          <w:bCs/>
          <w:sz w:val="24"/>
          <w:szCs w:val="24"/>
        </w:rPr>
        <w:t>с</w:t>
      </w:r>
      <w:r>
        <w:rPr>
          <w:rFonts w:ascii="Times New Roman" w:hAnsi="Times New Roman"/>
          <w:b/>
          <w:bCs/>
          <w:sz w:val="24"/>
          <w:szCs w:val="24"/>
        </w:rPr>
        <w:t>вету</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 xml:space="preserve">Рак плућа, рак дојке и рак дебелог црева су водеће локализације рака у оболевању и у умирању.  Ове три врсте рака чине заједно једну трећину новооболелих и умрлих особа од рака у свету. </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 xml:space="preserve">Рак плућа је најчешће дијагностикован рак код мушкараца и чини 14,5 % свих нових  случајева рака и 22% свих смртних случајева од рака код мушкараца. Потом следе карцином простате (13,5%) </w:t>
      </w:r>
      <w:r>
        <w:rPr>
          <w:rFonts w:ascii="Times New Roman" w:hAnsi="Times New Roman"/>
          <w:b w:val="false"/>
          <w:bCs w:val="false"/>
          <w:sz w:val="24"/>
          <w:szCs w:val="24"/>
        </w:rPr>
        <w:t>и</w:t>
      </w:r>
      <w:r>
        <w:rPr>
          <w:rFonts w:ascii="Times New Roman" w:hAnsi="Times New Roman"/>
          <w:b w:val="false"/>
          <w:bCs w:val="false"/>
          <w:sz w:val="24"/>
          <w:szCs w:val="24"/>
        </w:rPr>
        <w:t xml:space="preserve"> колоректални карцином (10,9%). Рак дојке је најчешће дијагностикован малигни тумор код жена (чини 24,2% свих новооткривених случајева рака ) и  водећи узрок смрти од рака код жена (15%), а следе га рак плућа (13,8%) </w:t>
      </w:r>
      <w:r>
        <w:rPr>
          <w:rFonts w:ascii="Times New Roman" w:hAnsi="Times New Roman"/>
          <w:b w:val="false"/>
          <w:bCs w:val="false"/>
          <w:sz w:val="24"/>
          <w:szCs w:val="24"/>
        </w:rPr>
        <w:t>и</w:t>
      </w:r>
      <w:r>
        <w:rPr>
          <w:rFonts w:ascii="Times New Roman" w:hAnsi="Times New Roman"/>
          <w:b w:val="false"/>
          <w:bCs w:val="false"/>
          <w:sz w:val="24"/>
          <w:szCs w:val="24"/>
        </w:rPr>
        <w:t xml:space="preserve"> рак дебелог црева (9,5%).</w:t>
      </w:r>
    </w:p>
    <w:p>
      <w:pPr>
        <w:pStyle w:val="Normal"/>
        <w:jc w:val="both"/>
        <w:rPr>
          <w:rFonts w:ascii="Times New Roman" w:hAnsi="Times New Roman"/>
          <w:b/>
          <w:bCs/>
          <w:sz w:val="24"/>
          <w:szCs w:val="24"/>
        </w:rPr>
      </w:pPr>
      <w:r>
        <w:rPr>
          <w:rFonts w:ascii="Times New Roman" w:hAnsi="Times New Roman"/>
          <w:b/>
          <w:bCs/>
          <w:sz w:val="24"/>
          <w:szCs w:val="24"/>
        </w:rPr>
        <w:t>Оптерећење раком у Србији</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У Србији се годишње у просеку дијагностикује око 36.000 нових случајева малигних болести, док од рака умре више од 20.000 људи. Водећи узроци оболевања и умирања од рака у нашој земљи готово су идентични водећим узроцима оболевања и смртности од малигних тумора у већини земаља у развоју. Мушкарци у нашој средини највише су оболевали од рака плућа, колона и ректума и простате. Kод жена малигни процес је најчешће био локализован на дојци, колону и ректуму, плућима и грлићу материце.</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Малигни тумори плућа и бронха водећа су локализација и у оболевању и у умирању међу мушкарцима, односно трећи по учесталости узрок оболевања и други узрок умирања међу женама са дијагнозом рака. Током 2015. године у Србији од рака бронха и плућа оболело је 5.578 особа (3.970 мушкараца и 1.608 жена) и умрле су 5.252 особе оба пола (3.805 мушкараца и 1.447 жена).</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Рак дојке најчешћи је малигни тумор у оболевању и умирању код жена. У Србији је 2015. године од малигних тумора дојке оболело 4.304 жене и умрле су 1.693 жене.</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Малигни тумори дебелог црева и ректума у нашој земљи друга су по учесталости локализација рака у оболевању и умирању код мушкараца, односно други по учесталости у оболевању и трећи у умирању од малигних тумора код жена. Од малигних тумора дебелог црева и ректума оболеле су 4.524 особе (2.753 мушкарца и 1.771 жена) и умрло је 2.568 особа оба пола (1.578 мушкараца и 990 жена).</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Рак грлића материце је током 2015. године био четврти по учесталости малигни тумор у оболевању и шести по учесталости у умирању међу нашим женама. Дијагноза рака грлића материце је постављена исте године код 1.095 жене, док је 424 жене умрло од ове врсте малигног тумора.</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Трећи по учесталости малигни процес међу нашим мушкарцима локализован је на простати. Током 2015. године од рака простате новооболело је 1.953 мушкараца и умрло је 1.073 мушкараца.</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Србија  према проценама IA</w:t>
      </w:r>
      <w:r>
        <w:rPr>
          <w:rFonts w:ascii="Times New Roman" w:hAnsi="Times New Roman"/>
          <w:b w:val="false"/>
          <w:bCs w:val="false"/>
          <w:sz w:val="24"/>
          <w:szCs w:val="24"/>
        </w:rPr>
        <w:t>RC</w:t>
      </w:r>
      <w:r>
        <w:rPr>
          <w:rFonts w:ascii="Times New Roman" w:hAnsi="Times New Roman"/>
          <w:b w:val="false"/>
          <w:bCs w:val="false"/>
          <w:sz w:val="24"/>
          <w:szCs w:val="24"/>
        </w:rPr>
        <w:t>- а се међу 40 земаља Европе сврстава у групу земаља са средњим ризиком оболевања (налази се на 12. месту) и високим ризиком умирања од малигних болести у Европи (на другом месту одмах после Мађарске). Процењене стопе оболевања од свих малигних тумора су ниже код мушкараца него код жена.</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Мушкарци у Србији су у средњем ризику оболевања од свих малигних тумора, у односу на мушкарце у земљама Источне и Западне Европе, као и у односу на мушкарце у Словенији и Хрватској. За разлику од мушкараца, жене у Србији су у вишем ризику оболевања од свих малигних тумора, одмах после жена у Западној и Северној Европи. Такође, процењена стопа оболевања код жена у Србији, је виша у односу на друге земље Западног Балкана. Разлог овоме могу бити више стопе оболевања од рака грлића материце и малигних тумора бронха и плућа у односу на просечне процењене стопе оболевања од ових облика рака у Европи.</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 xml:space="preserve">За разлику процењених стопа оболевања, Србија је, одмах после Мађарске земља у којој су регистроване стопе умирања од свих малигних тумора код оба пола међу највишим у Европи. Процењене стопе умирања од свих малигних тумора су ниже код мушкараца него код жена. Жене у Србији су одмах после жена у Мађарској у високом ризику умирања од свих малигних тумора, осим коже. Разлог овоме је чињеница да су стопе умирања од рака грлића материце </w:t>
      </w:r>
      <w:r>
        <w:rPr>
          <w:rFonts w:ascii="Times New Roman" w:hAnsi="Times New Roman"/>
          <w:b w:val="false"/>
          <w:bCs w:val="false"/>
          <w:sz w:val="24"/>
          <w:szCs w:val="24"/>
        </w:rPr>
        <w:t>и</w:t>
      </w:r>
      <w:r>
        <w:rPr>
          <w:rFonts w:ascii="Times New Roman" w:hAnsi="Times New Roman"/>
          <w:b w:val="false"/>
          <w:bCs w:val="false"/>
          <w:sz w:val="24"/>
          <w:szCs w:val="24"/>
        </w:rPr>
        <w:t xml:space="preserve"> рака дојке код жена у Србији међу највишима у односу на просечне процењене стопе умирања од ових облика рака у другим земљама Европе.</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 xml:space="preserve">Превенција малигних болести има огроман јавноздравствени потенцијал и представља најефикаснији приступ у контроли малигних болести, јер на приближно две трећине фактора ризика који су одговорни за настанак рака могуће је утицати, мењати их или их потпуно елиминисати. Чак 40% малигних болести може бити избегнуто једноставним мерама: престанком пушења, ограниченим конзумирањем алкохола, избегавањем сувишног излагања сунцу, задржавањем просечне тежине конзумирањем здраве хране, вежбањем, као и заштитом од инфекција које се могу развити у рак. </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Уколико до болести ипак дође, њен је исход могуће побољшати раним откривањем, адекватним лечењем и рехабилитацијом уз одговарајуће палијативно збрињавање.</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У Србији су донети национални програми за скрининг рака грлића материце, рака дојке и колоректалног рака, који ће у наредном периоду значајно смањити оболевање и умирање од наведених локализација малигних тумора. На скрининг рака дојке позивају се  жене старости од 50 до 69 година. Мамографски прегледи предвиђени су да се раде свим женама наведеног узраста на две године. Скринингом на карцином грлића материце обухваћене су жене узраста од 25 до 64 године, које се позивају на превентивни гинеколошки преглед и Пап тест једном у три године. Циљна група за тестирање на рак дебелог црева обухвата грађане оба пола старости од 50 до 74 година, који се једном у две године позивају на тестирање на скривено крварење у столици.</w:t>
      </w:r>
    </w:p>
    <w:p>
      <w:pPr>
        <w:pStyle w:val="Normal"/>
        <w:jc w:val="both"/>
        <w:rPr>
          <w:b/>
        </w:rPr>
      </w:pPr>
      <w:r>
        <w:rPr>
          <w:rFonts w:ascii="Times New Roman" w:hAnsi="Times New Roman"/>
          <w:b w:val="false"/>
          <w:bCs w:val="false"/>
          <w:sz w:val="24"/>
          <w:szCs w:val="24"/>
        </w:rPr>
        <w:t xml:space="preserve">Институт за јавно здравље Србије „Др Милан Јовановић Батут“ са мрежом института и завода за јавно здравље планира промотивно едукативне активности усмерене ка информисању становништва о препознавању раних симптома </w:t>
      </w:r>
      <w:r>
        <w:rPr>
          <w:rFonts w:ascii="Times New Roman" w:hAnsi="Times New Roman"/>
          <w:b w:val="false"/>
          <w:bCs w:val="false"/>
          <w:sz w:val="24"/>
          <w:szCs w:val="24"/>
          <w:lang w:val="sr-RS"/>
        </w:rPr>
        <w:t>и</w:t>
      </w:r>
      <w:r>
        <w:rPr>
          <w:rFonts w:ascii="Times New Roman" w:hAnsi="Times New Roman"/>
          <w:b w:val="false"/>
          <w:bCs w:val="false"/>
          <w:sz w:val="24"/>
          <w:szCs w:val="24"/>
        </w:rPr>
        <w:t xml:space="preserve"> знака малигних болести </w:t>
      </w:r>
      <w:r>
        <w:rPr>
          <w:rFonts w:ascii="Times New Roman" w:hAnsi="Times New Roman"/>
          <w:b w:val="false"/>
          <w:bCs w:val="false"/>
          <w:sz w:val="24"/>
          <w:szCs w:val="24"/>
          <w:lang w:val="sr-RS"/>
        </w:rPr>
        <w:t>и</w:t>
      </w:r>
      <w:r>
        <w:rPr>
          <w:rFonts w:ascii="Times New Roman" w:hAnsi="Times New Roman"/>
          <w:b w:val="false"/>
          <w:bCs w:val="false"/>
          <w:sz w:val="24"/>
          <w:szCs w:val="24"/>
        </w:rPr>
        <w:t xml:space="preserve"> њиховом оснаживању да преузму одговорност за сопствено здравље и да се на време јаве лекару </w:t>
      </w:r>
      <w:r>
        <w:rPr>
          <w:rFonts w:ascii="Times New Roman" w:hAnsi="Times New Roman"/>
          <w:b w:val="false"/>
          <w:bCs w:val="false"/>
          <w:sz w:val="24"/>
          <w:szCs w:val="24"/>
        </w:rPr>
        <w:t>ради контроле здравља, ране дијагностике и правовременог лечења</w:t>
      </w:r>
      <w:r>
        <w:rPr>
          <w:rFonts w:ascii="Times New Roman" w:hAnsi="Times New Roman"/>
          <w:b w:val="false"/>
          <w:bCs w:val="false"/>
          <w:sz w:val="24"/>
          <w:szCs w:val="24"/>
        </w:rPr>
        <w:t xml:space="preserve">. Такође је веома важно борити се противи митова, дезинформација и заблуда у вези са малигним болестима, јер одлагање </w:t>
      </w:r>
      <w:r>
        <w:rPr>
          <w:rFonts w:ascii="Times New Roman" w:hAnsi="Times New Roman"/>
          <w:b w:val="false"/>
          <w:bCs w:val="false"/>
          <w:sz w:val="24"/>
          <w:szCs w:val="24"/>
          <w:lang w:val="sr-RS"/>
        </w:rPr>
        <w:t>и</w:t>
      </w:r>
      <w:r>
        <w:rPr>
          <w:rFonts w:ascii="Times New Roman" w:hAnsi="Times New Roman"/>
          <w:b w:val="false"/>
          <w:bCs w:val="false"/>
          <w:sz w:val="24"/>
          <w:szCs w:val="24"/>
        </w:rPr>
        <w:t xml:space="preserve">/или избегавање раног откривања, адекватног лечења </w:t>
      </w:r>
      <w:r>
        <w:rPr>
          <w:rFonts w:ascii="Times New Roman" w:hAnsi="Times New Roman"/>
          <w:b w:val="false"/>
          <w:bCs w:val="false"/>
          <w:sz w:val="24"/>
          <w:szCs w:val="24"/>
          <w:lang w:val="sr-RS"/>
        </w:rPr>
        <w:t>и</w:t>
      </w:r>
      <w:r>
        <w:rPr>
          <w:rFonts w:ascii="Times New Roman" w:hAnsi="Times New Roman"/>
          <w:b w:val="false"/>
          <w:bCs w:val="false"/>
          <w:sz w:val="24"/>
          <w:szCs w:val="24"/>
        </w:rPr>
        <w:t xml:space="preserve"> неге, доводи до лошијег исхода по здравље. Неопходно је оснажити читаву заједницу, како би се креирало јавно мњење против дискриминације људи оболели</w:t>
      </w:r>
      <w:r>
        <w:rPr>
          <w:rFonts w:ascii="Times New Roman" w:hAnsi="Times New Roman"/>
          <w:b w:val="false"/>
          <w:bCs w:val="false"/>
          <w:sz w:val="24"/>
          <w:szCs w:val="24"/>
        </w:rPr>
        <w:t>х</w:t>
      </w:r>
      <w:r>
        <w:rPr>
          <w:rFonts w:ascii="Times New Roman" w:hAnsi="Times New Roman"/>
          <w:b w:val="false"/>
          <w:bCs w:val="false"/>
          <w:sz w:val="24"/>
          <w:szCs w:val="24"/>
        </w:rPr>
        <w:t xml:space="preserve"> од малигних болести, како на радном месту, </w:t>
      </w:r>
      <w:r>
        <w:rPr>
          <w:rFonts w:ascii="Times New Roman" w:hAnsi="Times New Roman"/>
          <w:b w:val="false"/>
          <w:bCs w:val="false"/>
          <w:sz w:val="24"/>
          <w:szCs w:val="24"/>
        </w:rPr>
        <w:t xml:space="preserve">тако </w:t>
      </w:r>
      <w:r>
        <w:rPr>
          <w:rFonts w:ascii="Times New Roman" w:hAnsi="Times New Roman"/>
          <w:b w:val="false"/>
          <w:bCs w:val="false"/>
          <w:sz w:val="24"/>
          <w:szCs w:val="24"/>
          <w:lang w:val="sr-RS"/>
        </w:rPr>
        <w:t>и</w:t>
      </w:r>
      <w:r>
        <w:rPr>
          <w:rFonts w:ascii="Times New Roman" w:hAnsi="Times New Roman"/>
          <w:b w:val="false"/>
          <w:bCs w:val="false"/>
          <w:sz w:val="24"/>
          <w:szCs w:val="24"/>
        </w:rPr>
        <w:t xml:space="preserve"> у здравственом систему, </w:t>
      </w:r>
      <w:r>
        <w:rPr>
          <w:rFonts w:ascii="Times New Roman" w:hAnsi="Times New Roman"/>
          <w:b w:val="false"/>
          <w:bCs w:val="false"/>
          <w:sz w:val="24"/>
          <w:szCs w:val="24"/>
        </w:rPr>
        <w:t>као</w:t>
      </w:r>
      <w:r>
        <w:rPr>
          <w:rFonts w:ascii="Times New Roman" w:hAnsi="Times New Roman"/>
          <w:b w:val="false"/>
          <w:bCs w:val="false"/>
          <w:sz w:val="24"/>
          <w:szCs w:val="24"/>
        </w:rPr>
        <w:t xml:space="preserve"> </w:t>
      </w:r>
      <w:r>
        <w:rPr>
          <w:rFonts w:ascii="Times New Roman" w:hAnsi="Times New Roman"/>
          <w:b w:val="false"/>
          <w:bCs w:val="false"/>
          <w:sz w:val="24"/>
          <w:szCs w:val="24"/>
          <w:lang w:val="sr-RS"/>
        </w:rPr>
        <w:t>и</w:t>
      </w:r>
      <w:r>
        <w:rPr>
          <w:rFonts w:ascii="Times New Roman" w:hAnsi="Times New Roman"/>
          <w:b w:val="false"/>
          <w:bCs w:val="false"/>
          <w:sz w:val="24"/>
          <w:szCs w:val="24"/>
        </w:rPr>
        <w:t xml:space="preserve"> у читавом друштву.</w:t>
      </w:r>
      <w:r>
        <w:rPr>
          <w:b/>
        </w:rPr>
        <w:t xml:space="preserve"> </w:t>
      </w:r>
    </w:p>
    <w:p>
      <w:pPr>
        <w:pStyle w:val="Normal"/>
        <w:spacing w:lineRule="auto" w:line="360"/>
        <w:jc w:val="both"/>
        <w:rPr/>
      </w:pPr>
      <w:r>
        <w:rPr/>
      </w:r>
    </w:p>
    <w:p>
      <w:pPr>
        <w:pStyle w:val="Normal"/>
        <w:spacing w:lineRule="auto" w:line="360" w:before="0" w:after="200"/>
        <w:jc w:val="both"/>
        <w:rPr/>
      </w:pPr>
      <w:r>
        <w:rPr/>
      </w:r>
    </w:p>
    <w:sectPr>
      <w:type w:val="nextPage"/>
      <w:pgSz w:w="11906" w:h="16838"/>
      <w:pgMar w:left="1418" w:right="1418" w:header="0" w:top="1418" w:footer="0"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Calibri" w:cs=""/>
        <w:szCs w:val="22"/>
        <w:lang w:val="en-GB" w:eastAsia="en-US" w:bidi="ar-SA"/>
      </w:rPr>
    </w:rPrDefault>
    <w:pPrDefault>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sz w:val="22"/>
      <w:szCs w:val="22"/>
      <w:lang w:val="en-GB" w:eastAsia="en-US" w:bidi="ar-SA"/>
    </w:rPr>
  </w:style>
  <w:style w:type="character" w:styleId="DefaultParagraphFont" w:default="1">
    <w:name w:val="Default Paragraph Font"/>
    <w:uiPriority w:val="1"/>
    <w:qFormat/>
    <w:semiHidden/>
    <w:unhideWhenUsed/>
    <w:rPr/>
  </w:style>
  <w:style w:type="paragraph" w:styleId="Heading">
    <w:name w:val="Heading"/>
    <w:qFormat/>
    <w:basedOn w:val="Normal"/>
    <w:next w:val="TextBody"/>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76" w:before="0" w:after="140"/>
    </w:pPr>
    <w:rPr/>
  </w:style>
  <w:style w:type="paragraph" w:styleId="List">
    <w:name w:val="List"/>
    <w:basedOn w:val="TextBody"/>
    <w:pPr/>
    <w:rPr>
      <w:rFonts w:cs="Arial"/>
    </w:rPr>
  </w:style>
  <w:style w:type="paragraph" w:styleId="Caption">
    <w:name w:val="Caption"/>
    <w:qFormat/>
    <w:basedOn w:val="Normal"/>
    <w:pPr>
      <w:suppressLineNumbers/>
      <w:spacing w:before="120" w:after="120"/>
    </w:pPr>
    <w:rPr>
      <w:rFonts w:cs="Arial"/>
      <w:i/>
      <w:iCs/>
      <w:sz w:val="24"/>
      <w:szCs w:val="24"/>
    </w:rPr>
  </w:style>
  <w:style w:type="paragraph" w:styleId="Index">
    <w:name w:val="Index"/>
    <w:qFormat/>
    <w:basedOn w:val="Normal"/>
    <w:pPr>
      <w:suppressLineNumbers/>
    </w:pPr>
    <w:rPr>
      <w:rFonts w:cs="Arial"/>
    </w:rPr>
  </w:style>
  <w:style w:type="numbering" w:styleId="NoList" w:default="1">
    <w:name w:val="No List"/>
    <w:uiPriority w:val="99"/>
    <w:qFormat/>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LibreOffice/6.0.5.2$Windows_X86_64 LibreOffice_project/54c8cbb85f300ac59db32fe8a675ff7683cd5a16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2019-01-30T09:06:00Z</dcterms:created>
  <dc:creator>Snezana SZ. Zivkovic</dc:creator>
  <dc:language>en-GB</dc:language>
  <dcterms:modified xsi:type="dcterms:W3CDTF">2019-01-31T07:50:41Z</dcterms:modified>
  <cp:revision>3</cp:revision>
</cp:coreProperties>
</file>